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D639" w14:textId="77777777" w:rsidR="00C32891" w:rsidRPr="00C32891" w:rsidRDefault="00C32891" w:rsidP="00C32891">
      <w:pPr>
        <w:widowControl w:val="0"/>
        <w:spacing w:after="0" w:line="360" w:lineRule="auto"/>
        <w:jc w:val="center"/>
        <w:rPr>
          <w:rFonts w:ascii="Calibri" w:eastAsia="Calibri" w:hAnsi="Calibri" w:cs="Calibri"/>
          <w:b/>
          <w:bCs/>
          <w:noProof/>
        </w:rPr>
      </w:pPr>
    </w:p>
    <w:p w14:paraId="73DB0BBA" w14:textId="04FC9781" w:rsidR="00C32891" w:rsidRPr="00C32891" w:rsidRDefault="00C32891" w:rsidP="00C32891">
      <w:pPr>
        <w:widowControl w:val="0"/>
        <w:spacing w:after="0" w:line="360" w:lineRule="auto"/>
        <w:jc w:val="center"/>
        <w:rPr>
          <w:rFonts w:ascii="Calibri" w:eastAsia="Calibri" w:hAnsi="Calibri" w:cs="Calibri"/>
          <w:b/>
          <w:bCs/>
          <w:noProof/>
        </w:rPr>
      </w:pPr>
      <w:r w:rsidRPr="00C32891">
        <w:rPr>
          <w:rFonts w:ascii="Calibri" w:eastAsia="Calibri" w:hAnsi="Calibri" w:cs="Calibri"/>
          <w:b/>
          <w:bCs/>
          <w:noProof/>
        </w:rPr>
        <w:t>PROCURĂ SPECIALĂ ACŢIONARI PERSOANE JURIDICE</w:t>
      </w:r>
    </w:p>
    <w:p w14:paraId="609A6918" w14:textId="2732045F" w:rsidR="000F25C0" w:rsidRPr="00C32891" w:rsidRDefault="00C32891" w:rsidP="00C32891">
      <w:pPr>
        <w:widowControl w:val="0"/>
        <w:spacing w:line="360" w:lineRule="auto"/>
        <w:jc w:val="center"/>
        <w:rPr>
          <w:rFonts w:ascii="Calibri" w:eastAsia="Calibri" w:hAnsi="Calibri" w:cs="Calibri"/>
          <w:b/>
          <w:bCs/>
          <w:noProof/>
        </w:rPr>
      </w:pPr>
      <w:r w:rsidRPr="00C32891">
        <w:rPr>
          <w:rFonts w:ascii="Calibri" w:eastAsia="Calibri" w:hAnsi="Calibri" w:cs="Calibri"/>
          <w:b/>
          <w:bCs/>
          <w:noProof/>
        </w:rPr>
        <w:t>pentru AGEA NOROFERT S.A.</w:t>
      </w:r>
      <w:r w:rsidR="007B6A45">
        <w:rPr>
          <w:rFonts w:ascii="Calibri" w:eastAsia="Calibri" w:hAnsi="Calibri" w:cs="Calibri"/>
          <w:b/>
          <w:bCs/>
          <w:noProof/>
        </w:rPr>
        <w:t>,</w:t>
      </w:r>
      <w:r w:rsidRPr="00C32891">
        <w:rPr>
          <w:rFonts w:ascii="Calibri" w:eastAsia="Calibri" w:hAnsi="Calibri" w:cs="Calibri"/>
          <w:b/>
          <w:bCs/>
          <w:noProof/>
        </w:rPr>
        <w:t xml:space="preserve"> </w:t>
      </w:r>
      <w:r w:rsidRPr="00C32891">
        <w:rPr>
          <w:rFonts w:cstheme="minorHAnsi"/>
          <w:b/>
          <w:bCs/>
          <w:noProof/>
        </w:rPr>
        <w:t>convocată pentru 29/30 aprilie 2024</w:t>
      </w:r>
    </w:p>
    <w:p w14:paraId="157D8470" w14:textId="0B4E6F58" w:rsidR="000F25C0" w:rsidRPr="00C32891" w:rsidRDefault="000F25C0" w:rsidP="000F25C0">
      <w:pPr>
        <w:spacing w:after="0" w:line="360" w:lineRule="auto"/>
        <w:jc w:val="center"/>
        <w:rPr>
          <w:rFonts w:asciiTheme="majorHAnsi" w:hAnsiTheme="majorHAnsi" w:cstheme="majorHAnsi"/>
          <w:bCs/>
          <w:noProof/>
        </w:rPr>
      </w:pPr>
    </w:p>
    <w:p w14:paraId="74F6A429" w14:textId="7442715C" w:rsidR="00E84746" w:rsidRDefault="00682B3C" w:rsidP="00E84746">
      <w:pPr>
        <w:spacing w:after="0" w:line="360" w:lineRule="auto"/>
        <w:jc w:val="both"/>
        <w:rPr>
          <w:rFonts w:asciiTheme="majorHAnsi" w:hAnsiTheme="majorHAnsi" w:cstheme="majorHAnsi"/>
          <w:noProof/>
        </w:rPr>
      </w:pPr>
      <w:r w:rsidRPr="00C32891">
        <w:rPr>
          <w:rFonts w:asciiTheme="majorHAnsi" w:hAnsiTheme="majorHAnsi" w:cstheme="majorHAnsi"/>
          <w:noProof/>
        </w:rPr>
        <w:t>Subscrisa</w:t>
      </w:r>
      <w:r w:rsidR="00C32891" w:rsidRPr="00C32891">
        <w:rPr>
          <w:rFonts w:asciiTheme="majorHAnsi" w:hAnsiTheme="majorHAnsi" w:cstheme="majorHAnsi"/>
          <w:noProof/>
        </w:rPr>
        <w:t xml:space="preserve"> </w:t>
      </w:r>
      <w:r w:rsidRPr="00C32891">
        <w:rPr>
          <w:rFonts w:asciiTheme="majorHAnsi" w:hAnsiTheme="majorHAnsi" w:cstheme="majorHAnsi"/>
          <w:noProof/>
        </w:rPr>
        <w:t>____________</w:t>
      </w:r>
      <w:r w:rsidR="00C32891" w:rsidRPr="00C32891">
        <w:rPr>
          <w:rFonts w:asciiTheme="majorHAnsi" w:hAnsiTheme="majorHAnsi" w:cstheme="majorHAnsi"/>
          <w:noProof/>
        </w:rPr>
        <w:t>_</w:t>
      </w:r>
      <w:r w:rsidRPr="00C32891">
        <w:rPr>
          <w:rFonts w:asciiTheme="majorHAnsi" w:hAnsiTheme="majorHAnsi" w:cstheme="majorHAnsi"/>
          <w:noProof/>
        </w:rPr>
        <w:t>____________________________________________________, cu sediul în _________________</w:t>
      </w:r>
      <w:r w:rsidR="00C32891" w:rsidRPr="00C32891">
        <w:rPr>
          <w:rFonts w:asciiTheme="majorHAnsi" w:hAnsiTheme="majorHAnsi" w:cstheme="majorHAnsi"/>
          <w:noProof/>
        </w:rPr>
        <w:t>_</w:t>
      </w:r>
      <w:r w:rsidRPr="00C32891">
        <w:rPr>
          <w:rFonts w:asciiTheme="majorHAnsi" w:hAnsiTheme="majorHAnsi" w:cstheme="majorHAnsi"/>
          <w:noProof/>
        </w:rPr>
        <w:t>_____________________________________________, înmatriculată în Registrul Comertului sub nr. _____________________, având CUI</w:t>
      </w:r>
      <w:bookmarkStart w:id="0" w:name="_Hlk54181076"/>
      <w:r w:rsidRPr="00C32891">
        <w:rPr>
          <w:rFonts w:asciiTheme="majorHAnsi" w:hAnsiTheme="majorHAnsi" w:cstheme="majorHAnsi"/>
          <w:noProof/>
        </w:rPr>
        <w:t>_______________________</w:t>
      </w:r>
      <w:bookmarkEnd w:id="0"/>
      <w:r w:rsidRPr="00C32891">
        <w:rPr>
          <w:rFonts w:asciiTheme="majorHAnsi" w:hAnsiTheme="majorHAnsi" w:cstheme="majorHAnsi"/>
          <w:noProof/>
        </w:rPr>
        <w:t xml:space="preserve">, titulară a </w:t>
      </w:r>
      <w:bookmarkStart w:id="1" w:name="_Hlk54189772"/>
      <w:r w:rsidRPr="00C32891">
        <w:rPr>
          <w:rFonts w:asciiTheme="majorHAnsi" w:hAnsiTheme="majorHAnsi" w:cstheme="majorHAnsi"/>
          <w:noProof/>
        </w:rPr>
        <w:t>__________________________</w:t>
      </w:r>
      <w:bookmarkEnd w:id="1"/>
      <w:r w:rsidRPr="00C32891">
        <w:rPr>
          <w:rFonts w:asciiTheme="majorHAnsi" w:hAnsiTheme="majorHAnsi" w:cstheme="majorHAnsi"/>
          <w:noProof/>
        </w:rPr>
        <w:t xml:space="preserve"> acţiuni emise de NOROFERT S.A., înmatriculată în Registrul Comertului sub nr. </w:t>
      </w:r>
      <w:bookmarkStart w:id="2" w:name="_Hlk54189834"/>
      <w:r w:rsidRPr="00C32891">
        <w:rPr>
          <w:rFonts w:asciiTheme="majorHAnsi" w:hAnsiTheme="majorHAnsi" w:cstheme="majorHAnsi"/>
          <w:noProof/>
        </w:rPr>
        <w:t>J40/4222/2000,</w:t>
      </w:r>
      <w:bookmarkEnd w:id="2"/>
      <w:r w:rsidRPr="00C32891">
        <w:rPr>
          <w:rFonts w:asciiTheme="majorHAnsi" w:hAnsiTheme="majorHAnsi" w:cstheme="majorHAnsi"/>
          <w:noProof/>
        </w:rPr>
        <w:t xml:space="preserve"> având CUI </w:t>
      </w:r>
      <w:bookmarkStart w:id="3" w:name="_Hlk54189850"/>
      <w:r w:rsidR="00C32891" w:rsidRPr="00C32891">
        <w:rPr>
          <w:rFonts w:asciiTheme="majorHAnsi" w:hAnsiTheme="majorHAnsi" w:cstheme="majorHAnsi"/>
          <w:noProof/>
        </w:rPr>
        <w:t>RO</w:t>
      </w:r>
      <w:r w:rsidRPr="00C32891">
        <w:rPr>
          <w:rFonts w:asciiTheme="majorHAnsi" w:hAnsiTheme="majorHAnsi" w:cstheme="majorHAnsi"/>
          <w:noProof/>
        </w:rPr>
        <w:t>12972762</w:t>
      </w:r>
      <w:bookmarkEnd w:id="3"/>
      <w:r w:rsidRPr="00C32891">
        <w:rPr>
          <w:rFonts w:asciiTheme="majorHAnsi" w:hAnsiTheme="majorHAnsi" w:cstheme="majorHAnsi"/>
          <w:noProof/>
        </w:rPr>
        <w:t xml:space="preserve">, reprezentând </w:t>
      </w:r>
      <w:bookmarkStart w:id="4" w:name="_Hlk54189891"/>
      <w:r w:rsidRPr="00C32891">
        <w:rPr>
          <w:rFonts w:asciiTheme="majorHAnsi" w:hAnsiTheme="majorHAnsi" w:cstheme="majorHAnsi"/>
          <w:noProof/>
        </w:rPr>
        <w:t>______________________%</w:t>
      </w:r>
      <w:bookmarkEnd w:id="4"/>
      <w:r w:rsidRPr="00C32891">
        <w:rPr>
          <w:rFonts w:asciiTheme="majorHAnsi" w:hAnsiTheme="majorHAnsi" w:cstheme="majorHAnsi"/>
          <w:noProof/>
        </w:rPr>
        <w:t xml:space="preserve"> din numărul total al acțiunilor emise de NOROFERT S.A., care ne conferă un număr de______________________ drepturi de vot în adunarea generală a acționarilor, reprezentată legal prin </w:t>
      </w:r>
      <w:bookmarkStart w:id="5" w:name="_Hlk54189969"/>
      <w:r w:rsidRPr="00C32891">
        <w:rPr>
          <w:rFonts w:asciiTheme="majorHAnsi" w:hAnsiTheme="majorHAnsi" w:cstheme="majorHAnsi"/>
          <w:noProof/>
        </w:rPr>
        <w:t>_________________________________________,</w:t>
      </w:r>
      <w:bookmarkEnd w:id="5"/>
      <w:r w:rsidRPr="00C32891">
        <w:rPr>
          <w:rFonts w:asciiTheme="majorHAnsi" w:hAnsiTheme="majorHAnsi" w:cstheme="majorHAnsi"/>
          <w:noProof/>
        </w:rPr>
        <w:t xml:space="preserve"> în calitate de</w:t>
      </w:r>
      <w:bookmarkStart w:id="6" w:name="_Hlk54189997"/>
      <w:r w:rsidR="00C32891">
        <w:rPr>
          <w:rFonts w:asciiTheme="majorHAnsi" w:hAnsiTheme="majorHAnsi" w:cstheme="majorHAnsi"/>
          <w:noProof/>
        </w:rPr>
        <w:t xml:space="preserve"> </w:t>
      </w:r>
      <w:r w:rsidRPr="00C32891">
        <w:rPr>
          <w:rFonts w:asciiTheme="majorHAnsi" w:hAnsiTheme="majorHAnsi" w:cstheme="majorHAnsi"/>
          <w:noProof/>
        </w:rPr>
        <w:t>__________________________________________,</w:t>
      </w:r>
      <w:bookmarkEnd w:id="6"/>
      <w:r w:rsidRPr="00C32891">
        <w:rPr>
          <w:rFonts w:asciiTheme="majorHAnsi" w:hAnsiTheme="majorHAnsi" w:cstheme="majorHAnsi"/>
          <w:noProof/>
        </w:rPr>
        <w:t xml:space="preserve"> prin prezenta o/îl împuternicim pe</w:t>
      </w:r>
      <w:r w:rsidR="00C32891">
        <w:rPr>
          <w:rFonts w:asciiTheme="majorHAnsi" w:hAnsiTheme="majorHAnsi" w:cstheme="majorHAnsi"/>
          <w:noProof/>
        </w:rPr>
        <w:t xml:space="preserve"> </w:t>
      </w:r>
      <w:r w:rsidRPr="00C32891">
        <w:rPr>
          <w:rFonts w:asciiTheme="majorHAnsi" w:hAnsiTheme="majorHAnsi" w:cstheme="majorHAnsi"/>
          <w:noProof/>
        </w:rPr>
        <w:t>_________________________________________, cu domiciliul în</w:t>
      </w:r>
      <w:r w:rsidR="00C32891">
        <w:rPr>
          <w:rFonts w:asciiTheme="majorHAnsi" w:hAnsiTheme="majorHAnsi" w:cstheme="majorHAnsi"/>
          <w:noProof/>
        </w:rPr>
        <w:t xml:space="preserve"> </w:t>
      </w:r>
      <w:r w:rsidRPr="00C32891">
        <w:rPr>
          <w:rFonts w:asciiTheme="majorHAnsi" w:hAnsiTheme="majorHAnsi" w:cstheme="majorHAnsi"/>
          <w:noProof/>
        </w:rPr>
        <w:t>_______</w:t>
      </w:r>
      <w:r w:rsidR="00C32891">
        <w:rPr>
          <w:rFonts w:asciiTheme="majorHAnsi" w:hAnsiTheme="majorHAnsi" w:cstheme="majorHAnsi"/>
          <w:noProof/>
        </w:rPr>
        <w:t>______</w:t>
      </w:r>
      <w:r w:rsidRPr="00C32891">
        <w:rPr>
          <w:rFonts w:asciiTheme="majorHAnsi" w:hAnsiTheme="majorHAnsi" w:cstheme="majorHAnsi"/>
          <w:noProof/>
        </w:rPr>
        <w:t>__________, identificat(ă) cu CI seria____ nr.___, având CNP_______________________, să voteze, în numele și pe seama noastră,</w:t>
      </w:r>
      <w:r w:rsidR="000F25C0" w:rsidRPr="00C32891">
        <w:rPr>
          <w:rFonts w:asciiTheme="majorHAnsi" w:hAnsiTheme="majorHAnsi" w:cstheme="majorHAnsi"/>
          <w:noProof/>
        </w:rPr>
        <w:t xml:space="preserve"> asupra punctelor de pe ordinea de zi a adunării generale extraordinare a acţionarilor NOROFERT S.A., </w:t>
      </w:r>
      <w:r w:rsidR="00C32891" w:rsidRPr="00727F31">
        <w:rPr>
          <w:rFonts w:asciiTheme="majorHAnsi" w:hAnsiTheme="majorHAnsi" w:cstheme="majorHAnsi"/>
          <w:noProof/>
        </w:rPr>
        <w:t>care va avea loc în data de</w:t>
      </w:r>
      <w:r w:rsidR="00C32891">
        <w:rPr>
          <w:rFonts w:asciiTheme="majorHAnsi" w:hAnsiTheme="majorHAnsi" w:cstheme="majorHAnsi"/>
          <w:noProof/>
        </w:rPr>
        <w:t xml:space="preserve"> </w:t>
      </w:r>
      <w:r w:rsidR="00C32891" w:rsidRPr="00374C47">
        <w:rPr>
          <w:rFonts w:cstheme="minorHAnsi"/>
          <w:b/>
          <w:bCs/>
          <w:noProof/>
        </w:rPr>
        <w:t>29 aprilie 2024</w:t>
      </w:r>
      <w:r w:rsidR="00C32891">
        <w:rPr>
          <w:rFonts w:asciiTheme="majorHAnsi" w:hAnsiTheme="majorHAnsi" w:cstheme="majorHAnsi"/>
          <w:noProof/>
        </w:rPr>
        <w:t xml:space="preserve">, </w:t>
      </w:r>
      <w:r w:rsidR="00C32891" w:rsidRPr="005A544D">
        <w:rPr>
          <w:rFonts w:cstheme="minorHAnsi"/>
          <w:b/>
          <w:bCs/>
          <w:noProof/>
        </w:rPr>
        <w:t>ora 09:</w:t>
      </w:r>
      <w:r w:rsidR="00C32891">
        <w:rPr>
          <w:rFonts w:cstheme="minorHAnsi"/>
          <w:b/>
          <w:bCs/>
          <w:noProof/>
        </w:rPr>
        <w:t>3</w:t>
      </w:r>
      <w:r w:rsidR="00C32891" w:rsidRPr="005A544D">
        <w:rPr>
          <w:rFonts w:cstheme="minorHAnsi"/>
          <w:b/>
          <w:bCs/>
          <w:noProof/>
        </w:rPr>
        <w:t>0</w:t>
      </w:r>
      <w:r w:rsidR="00C32891">
        <w:rPr>
          <w:rFonts w:asciiTheme="majorHAnsi" w:hAnsiTheme="majorHAnsi" w:cstheme="majorHAnsi"/>
          <w:noProof/>
        </w:rPr>
        <w:t>, la Hotel Hilton Garden Inn,</w:t>
      </w:r>
      <w:r w:rsidR="00C32891" w:rsidRPr="00727F31">
        <w:rPr>
          <w:noProof/>
        </w:rPr>
        <w:t xml:space="preserve"> </w:t>
      </w:r>
      <w:r w:rsidR="00C32891" w:rsidRPr="00727F31">
        <w:rPr>
          <w:rFonts w:asciiTheme="majorHAnsi" w:hAnsiTheme="majorHAnsi" w:cstheme="majorHAnsi"/>
          <w:noProof/>
        </w:rPr>
        <w:t>Sala: Floreasca South, etaj -1</w:t>
      </w:r>
      <w:r w:rsidR="00C32891">
        <w:rPr>
          <w:rFonts w:asciiTheme="majorHAnsi" w:hAnsiTheme="majorHAnsi" w:cstheme="majorHAnsi"/>
          <w:noProof/>
        </w:rPr>
        <w:t xml:space="preserve">, </w:t>
      </w:r>
      <w:r w:rsidR="00C32891" w:rsidRPr="00727F31">
        <w:rPr>
          <w:rFonts w:asciiTheme="majorHAnsi" w:hAnsiTheme="majorHAnsi" w:cstheme="majorHAnsi"/>
          <w:noProof/>
        </w:rPr>
        <w:t>Strada Doamnei, nr.</w:t>
      </w:r>
      <w:r w:rsidR="00C32891">
        <w:rPr>
          <w:rFonts w:asciiTheme="majorHAnsi" w:hAnsiTheme="majorHAnsi" w:cstheme="majorHAnsi"/>
          <w:noProof/>
        </w:rPr>
        <w:t xml:space="preserve"> </w:t>
      </w:r>
      <w:r w:rsidR="00C32891" w:rsidRPr="00727F31">
        <w:rPr>
          <w:rFonts w:asciiTheme="majorHAnsi" w:hAnsiTheme="majorHAnsi" w:cstheme="majorHAnsi"/>
          <w:noProof/>
        </w:rPr>
        <w:t>12, Sector 3, Bucuresti, România, sau la data ţinerii celei de-a doua adunări (</w:t>
      </w:r>
      <w:r w:rsidR="00C32891">
        <w:rPr>
          <w:rFonts w:asciiTheme="majorHAnsi" w:hAnsiTheme="majorHAnsi" w:cstheme="majorHAnsi"/>
          <w:noProof/>
        </w:rPr>
        <w:t xml:space="preserve">30 aprilie 2024 la aceeași oră în același loc), </w:t>
      </w:r>
      <w:r w:rsidR="00C32891" w:rsidRPr="00C34F9C">
        <w:rPr>
          <w:rFonts w:asciiTheme="majorHAnsi" w:hAnsiTheme="majorHAnsi" w:cstheme="majorHAnsi"/>
          <w:noProof/>
        </w:rPr>
        <w:t>în cazul în care cea dintâi nu s-ar putea ţine, după cum urmează mai jos</w:t>
      </w:r>
      <w:r w:rsidR="00C32891">
        <w:rPr>
          <w:rFonts w:asciiTheme="majorHAnsi" w:hAnsiTheme="majorHAnsi" w:cstheme="majorHAnsi"/>
          <w:noProof/>
        </w:rPr>
        <w:t>:</w:t>
      </w:r>
    </w:p>
    <w:p w14:paraId="06F7564A" w14:textId="77777777" w:rsidR="00A243CA" w:rsidRPr="0009600A" w:rsidRDefault="00A243CA" w:rsidP="00A243CA">
      <w:pPr>
        <w:pStyle w:val="ListParagraph"/>
        <w:spacing w:after="0" w:line="276" w:lineRule="auto"/>
        <w:ind w:left="284"/>
        <w:jc w:val="both"/>
        <w:rPr>
          <w:rFonts w:asciiTheme="majorHAnsi" w:hAnsiTheme="majorHAnsi" w:cstheme="majorHAnsi"/>
          <w:b/>
          <w:bCs/>
          <w:noProof/>
        </w:rPr>
      </w:pPr>
    </w:p>
    <w:p w14:paraId="59B5FDA4" w14:textId="77777777" w:rsidR="00A243CA" w:rsidRPr="0009600A" w:rsidRDefault="00A243CA" w:rsidP="00A243CA">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Alegere Secretar de ședință</w:t>
      </w:r>
      <w:r>
        <w:rPr>
          <w:rFonts w:ascii="Calibri" w:hAnsi="Calibri" w:cs="Calibri"/>
          <w:b/>
          <w:bCs/>
          <w:noProof/>
        </w:rPr>
        <w:t>.</w:t>
      </w:r>
      <w:r w:rsidRPr="0009600A">
        <w:rPr>
          <w:rFonts w:ascii="Calibri" w:hAnsi="Calibri" w:cs="Calibri"/>
          <w:b/>
          <w:bCs/>
          <w:noProof/>
        </w:rPr>
        <w:t xml:space="preserve"> </w:t>
      </w:r>
    </w:p>
    <w:p w14:paraId="35D07597"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193BE2BF"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29767867"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40F5D80B" w14:textId="77777777" w:rsidR="00A243CA" w:rsidRPr="0009600A" w:rsidRDefault="00A243CA" w:rsidP="00A243CA">
      <w:pPr>
        <w:pStyle w:val="ListParagraph"/>
        <w:spacing w:after="0" w:line="276" w:lineRule="auto"/>
        <w:ind w:left="284"/>
        <w:jc w:val="both"/>
        <w:rPr>
          <w:rFonts w:asciiTheme="majorHAnsi" w:hAnsiTheme="majorHAnsi" w:cstheme="majorHAnsi"/>
          <w:noProof/>
        </w:rPr>
      </w:pPr>
    </w:p>
    <w:p w14:paraId="326DE28E" w14:textId="77777777"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Mandatarea Consiliului de Administrație pentru prospectarea în vederea achiziției (sau asocierea) de afaceri din domeniul agricol</w:t>
      </w:r>
      <w:r w:rsidRPr="0009600A">
        <w:rPr>
          <w:rFonts w:asciiTheme="majorHAnsi" w:hAnsiTheme="majorHAnsi" w:cstheme="majorHAnsi"/>
          <w:noProof/>
        </w:rPr>
        <w:t>, complementare sau concurente cu activitatea NOROFERT S.A. și negocierea și încheierea de achiziții de participații în cadrul societăților comerciale de acest tip, în limita valorică cumulativă de 30.000.000 lei până la 31 decembrie 2025.</w:t>
      </w:r>
    </w:p>
    <w:p w14:paraId="3C994325" w14:textId="77777777" w:rsidR="00A243CA" w:rsidRPr="0009600A" w:rsidRDefault="00A243CA" w:rsidP="00A243CA">
      <w:pPr>
        <w:spacing w:after="0" w:line="276" w:lineRule="auto"/>
        <w:ind w:left="284"/>
        <w:jc w:val="both"/>
        <w:rPr>
          <w:rFonts w:asciiTheme="majorHAnsi" w:hAnsiTheme="majorHAnsi" w:cstheme="majorHAnsi"/>
          <w:noProof/>
        </w:rPr>
      </w:pPr>
    </w:p>
    <w:p w14:paraId="5EB1A8F3"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60AB4931"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623D19E"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472D54B1" w14:textId="77777777" w:rsidR="00A243CA" w:rsidRPr="0009600A" w:rsidRDefault="00A243CA" w:rsidP="00A243CA">
      <w:pPr>
        <w:pStyle w:val="ListParagraph"/>
        <w:spacing w:after="0" w:line="276" w:lineRule="auto"/>
        <w:ind w:left="284"/>
        <w:jc w:val="both"/>
        <w:rPr>
          <w:rFonts w:asciiTheme="majorHAnsi" w:hAnsiTheme="majorHAnsi" w:cstheme="majorHAnsi"/>
          <w:noProof/>
        </w:rPr>
      </w:pPr>
    </w:p>
    <w:p w14:paraId="3116F048" w14:textId="77777777" w:rsidR="00A243CA" w:rsidRDefault="00A243CA" w:rsidP="00A243CA">
      <w:pPr>
        <w:pStyle w:val="ListParagraph"/>
        <w:spacing w:after="0" w:line="276" w:lineRule="auto"/>
        <w:ind w:left="284"/>
        <w:jc w:val="both"/>
        <w:rPr>
          <w:rFonts w:asciiTheme="majorHAnsi" w:hAnsiTheme="majorHAnsi" w:cstheme="majorHAnsi"/>
          <w:noProof/>
        </w:rPr>
      </w:pPr>
    </w:p>
    <w:p w14:paraId="091AD7C0" w14:textId="77777777" w:rsidR="00A243CA" w:rsidRDefault="00A243CA" w:rsidP="00A243CA">
      <w:pPr>
        <w:pStyle w:val="ListParagraph"/>
        <w:spacing w:after="0" w:line="276" w:lineRule="auto"/>
        <w:ind w:left="284"/>
        <w:jc w:val="both"/>
        <w:rPr>
          <w:rFonts w:asciiTheme="majorHAnsi" w:hAnsiTheme="majorHAnsi" w:cstheme="majorHAnsi"/>
          <w:noProof/>
        </w:rPr>
      </w:pPr>
    </w:p>
    <w:p w14:paraId="7F635854" w14:textId="77777777" w:rsidR="00A243CA" w:rsidRPr="0009600A" w:rsidRDefault="00A243CA" w:rsidP="00A243CA">
      <w:pPr>
        <w:pStyle w:val="ListParagraph"/>
        <w:spacing w:after="0" w:line="276" w:lineRule="auto"/>
        <w:ind w:left="284"/>
        <w:jc w:val="both"/>
        <w:rPr>
          <w:rFonts w:asciiTheme="majorHAnsi" w:hAnsiTheme="majorHAnsi" w:cstheme="majorHAnsi"/>
          <w:noProof/>
        </w:rPr>
      </w:pPr>
    </w:p>
    <w:p w14:paraId="580CB5CC" w14:textId="77777777" w:rsidR="00A243CA" w:rsidRDefault="00A243CA" w:rsidP="00A243CA">
      <w:pPr>
        <w:pStyle w:val="ListParagraph"/>
        <w:numPr>
          <w:ilvl w:val="0"/>
          <w:numId w:val="9"/>
        </w:numPr>
        <w:spacing w:after="0" w:line="276" w:lineRule="auto"/>
        <w:ind w:left="284" w:firstLine="0"/>
        <w:jc w:val="both"/>
        <w:rPr>
          <w:rFonts w:ascii="Calibri" w:hAnsi="Calibri" w:cs="Calibri"/>
          <w:b/>
          <w:bCs/>
          <w:noProof/>
        </w:rPr>
      </w:pPr>
      <w:r w:rsidRPr="0009600A">
        <w:rPr>
          <w:rFonts w:ascii="Calibri" w:hAnsi="Calibri" w:cs="Calibri"/>
          <w:b/>
          <w:bCs/>
          <w:noProof/>
        </w:rPr>
        <w:t>Ratificarea transferului societății subsidiare Norofert USA LLC din Statul Ohio în Statul Delaware.</w:t>
      </w:r>
    </w:p>
    <w:p w14:paraId="7AA7436C" w14:textId="77777777" w:rsidR="00A243CA" w:rsidRDefault="00A243CA" w:rsidP="00A243CA">
      <w:pPr>
        <w:spacing w:after="0" w:line="276" w:lineRule="auto"/>
        <w:ind w:left="284"/>
        <w:jc w:val="both"/>
        <w:rPr>
          <w:rFonts w:ascii="Calibri" w:hAnsi="Calibri" w:cs="Calibri"/>
          <w:b/>
          <w:bCs/>
          <w:noProof/>
        </w:rPr>
      </w:pPr>
    </w:p>
    <w:p w14:paraId="7DD29126"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12175605"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44BB0FF"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3C027833" w14:textId="77777777" w:rsidR="00A243CA" w:rsidRPr="0009600A" w:rsidRDefault="00A243CA" w:rsidP="00A243CA">
      <w:pPr>
        <w:spacing w:after="0" w:line="276" w:lineRule="auto"/>
        <w:jc w:val="both"/>
        <w:rPr>
          <w:rFonts w:asciiTheme="majorHAnsi" w:hAnsiTheme="majorHAnsi" w:cstheme="majorHAnsi"/>
          <w:noProof/>
        </w:rPr>
      </w:pPr>
    </w:p>
    <w:p w14:paraId="45CA0941" w14:textId="77777777" w:rsidR="00A243CA" w:rsidRDefault="00A243CA" w:rsidP="00A243CA">
      <w:pPr>
        <w:pStyle w:val="ListParagraph"/>
        <w:numPr>
          <w:ilvl w:val="0"/>
          <w:numId w:val="9"/>
        </w:numPr>
        <w:spacing w:after="0" w:line="276" w:lineRule="auto"/>
        <w:ind w:hanging="76"/>
        <w:jc w:val="both"/>
        <w:rPr>
          <w:rFonts w:asciiTheme="majorHAnsi" w:hAnsiTheme="majorHAnsi" w:cstheme="majorHAnsi"/>
          <w:noProof/>
        </w:rPr>
      </w:pPr>
      <w:r w:rsidRPr="0009600A">
        <w:rPr>
          <w:rFonts w:ascii="Calibri" w:hAnsi="Calibri" w:cs="Calibri"/>
          <w:b/>
          <w:bCs/>
          <w:noProof/>
        </w:rPr>
        <w:t>Ratificarea asocierii subsidiarei Norofert USA LLC Delaware (51%)</w:t>
      </w:r>
      <w:r w:rsidRPr="0009600A">
        <w:rPr>
          <w:rFonts w:asciiTheme="majorHAnsi" w:hAnsiTheme="majorHAnsi" w:cstheme="majorHAnsi"/>
          <w:b/>
          <w:bCs/>
          <w:i/>
          <w:iCs/>
          <w:noProof/>
        </w:rPr>
        <w:t xml:space="preserve"> </w:t>
      </w:r>
      <w:r w:rsidRPr="0009600A">
        <w:rPr>
          <w:rFonts w:asciiTheme="majorHAnsi" w:hAnsiTheme="majorHAnsi" w:cstheme="majorHAnsi"/>
          <w:noProof/>
        </w:rPr>
        <w:t xml:space="preserve">cu Gary Lamb (49%) în </w:t>
      </w:r>
    </w:p>
    <w:p w14:paraId="72D1DC73" w14:textId="77777777" w:rsidR="00A243CA" w:rsidRPr="0009600A" w:rsidRDefault="00A243CA" w:rsidP="00A243CA">
      <w:pPr>
        <w:spacing w:after="0" w:line="276" w:lineRule="auto"/>
        <w:ind w:left="284"/>
        <w:jc w:val="both"/>
        <w:rPr>
          <w:rFonts w:asciiTheme="majorHAnsi" w:hAnsiTheme="majorHAnsi" w:cstheme="majorHAnsi"/>
          <w:noProof/>
        </w:rPr>
      </w:pPr>
      <w:r w:rsidRPr="0009600A">
        <w:rPr>
          <w:rFonts w:asciiTheme="majorHAnsi" w:hAnsiTheme="majorHAnsi" w:cstheme="majorHAnsi"/>
          <w:noProof/>
        </w:rPr>
        <w:t>societatea Norofert Ag LLC Dakota de Sud, cu scopul construirii unei fabrici în Statele Unite ale Americii, pentru expansiunea pe această piață și desfășurarea activității economice de bază a Norofert SA.</w:t>
      </w:r>
    </w:p>
    <w:p w14:paraId="78031FCF"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2AE8481A"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2C22E9AF"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526BA90D" w14:textId="77777777" w:rsidR="00A243CA" w:rsidRPr="0009600A" w:rsidRDefault="00A243CA" w:rsidP="00A243CA">
      <w:pPr>
        <w:spacing w:after="0" w:line="276" w:lineRule="auto"/>
        <w:jc w:val="both"/>
        <w:rPr>
          <w:rFonts w:ascii="Calibri" w:hAnsi="Calibri" w:cs="Calibri"/>
          <w:b/>
          <w:bCs/>
          <w:noProof/>
          <w:highlight w:val="yellow"/>
        </w:rPr>
      </w:pPr>
    </w:p>
    <w:p w14:paraId="074146B2" w14:textId="77777777"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emisiunii (prin una sau mai multe runde de emisiune) de obligațiuni corporative</w:t>
      </w:r>
      <w:r w:rsidRPr="0009600A">
        <w:rPr>
          <w:rFonts w:asciiTheme="majorHAnsi" w:hAnsiTheme="majorHAnsi" w:cstheme="majorHAnsi"/>
          <w:noProof/>
        </w:rPr>
        <w:t xml:space="preserve"> neconvertibile în acțiuni, negarantate, necondiționate și cu opțiune de răscumpărare înainte de scadență la inițiativa Societății, în limita maximă a 3.500.000 de Euro, fiecare obligațiune urmând a fi emisă în RON, EUR sau USD, cu o valoare nominală de 100 de RON și/sau 100 de EUR și/sau 100 de USD, cu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 Emisiunea de obligațiuni, conform celor menționate anterior, se va putea derula prin una sau mai multe oferte publice și/sau prin una sau mai multe oferte pentru care nu este necesară publicarea unui Prospect (plasament privat). </w:t>
      </w:r>
    </w:p>
    <w:p w14:paraId="6E41CE83" w14:textId="77777777" w:rsidR="00A243CA" w:rsidRDefault="00A243CA" w:rsidP="00A243CA">
      <w:pPr>
        <w:spacing w:after="0" w:line="276" w:lineRule="auto"/>
        <w:ind w:left="284"/>
        <w:jc w:val="both"/>
        <w:rPr>
          <w:rFonts w:asciiTheme="majorHAnsi" w:hAnsiTheme="majorHAnsi" w:cstheme="majorHAnsi"/>
          <w:noProof/>
        </w:rPr>
      </w:pPr>
    </w:p>
    <w:p w14:paraId="6D9C6C1A"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24EC0CAB"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EAED344"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63EB94B1" w14:textId="77777777" w:rsidR="00A243CA" w:rsidRPr="0009600A" w:rsidRDefault="00A243CA" w:rsidP="00A243CA">
      <w:pPr>
        <w:pStyle w:val="ListParagraph"/>
        <w:rPr>
          <w:rFonts w:asciiTheme="majorHAnsi" w:hAnsiTheme="majorHAnsi" w:cstheme="majorHAnsi"/>
          <w:noProof/>
        </w:rPr>
      </w:pPr>
    </w:p>
    <w:p w14:paraId="5FB444F5" w14:textId="77777777"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Aprobarea admiterii la tranzacționare pe sistemul multilateral de tranzacționare administrat de Bursa de Valori București S.A. a obligațiunilor emise</w:t>
      </w:r>
      <w:r w:rsidRPr="0009600A">
        <w:rPr>
          <w:rFonts w:asciiTheme="majorHAnsi" w:hAnsiTheme="majorHAnsi" w:cstheme="majorHAnsi"/>
          <w:noProof/>
        </w:rPr>
        <w:t xml:space="preserve"> în conformitate cu punctul nr. 5 de mai sus și întreprinderii de către Societate a tuturor acțiunilor și formalităților necesare, utile și/sau oportune în acest scop.</w:t>
      </w:r>
    </w:p>
    <w:p w14:paraId="21C6521B" w14:textId="77777777" w:rsidR="00A243CA" w:rsidRDefault="00A243CA" w:rsidP="00A243CA">
      <w:pPr>
        <w:spacing w:after="0" w:line="276" w:lineRule="auto"/>
        <w:ind w:left="284"/>
        <w:jc w:val="both"/>
        <w:rPr>
          <w:rFonts w:asciiTheme="majorHAnsi" w:hAnsiTheme="majorHAnsi" w:cstheme="majorHAnsi"/>
          <w:noProof/>
        </w:rPr>
      </w:pPr>
    </w:p>
    <w:p w14:paraId="5048AD40"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0F2B491E"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0AA0C7B6"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551A535A" w14:textId="77777777" w:rsidR="00A243CA" w:rsidRDefault="00A243CA" w:rsidP="00A243CA">
      <w:pPr>
        <w:rPr>
          <w:rFonts w:asciiTheme="majorHAnsi" w:hAnsiTheme="majorHAnsi" w:cstheme="majorHAnsi"/>
          <w:noProof/>
        </w:rPr>
      </w:pPr>
    </w:p>
    <w:p w14:paraId="7475A550" w14:textId="77777777" w:rsidR="00A243CA" w:rsidRDefault="00A243CA" w:rsidP="00A243CA">
      <w:pPr>
        <w:rPr>
          <w:rFonts w:asciiTheme="majorHAnsi" w:hAnsiTheme="majorHAnsi" w:cstheme="majorHAnsi"/>
          <w:noProof/>
        </w:rPr>
      </w:pPr>
    </w:p>
    <w:p w14:paraId="0C5915F1" w14:textId="77777777" w:rsidR="00A243CA" w:rsidRPr="0009600A" w:rsidRDefault="00A243CA" w:rsidP="00A243CA">
      <w:pPr>
        <w:rPr>
          <w:rFonts w:asciiTheme="majorHAnsi" w:hAnsiTheme="majorHAnsi" w:cstheme="majorHAnsi"/>
          <w:noProof/>
        </w:rPr>
      </w:pPr>
    </w:p>
    <w:p w14:paraId="6DFC9369" w14:textId="77777777" w:rsidR="00A243CA" w:rsidRPr="0009600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Consiliului de Administrație al Societății,</w:t>
      </w:r>
      <w:r w:rsidRPr="0009600A">
        <w:rPr>
          <w:rFonts w:asciiTheme="majorHAnsi" w:hAnsiTheme="majorHAnsi" w:cstheme="majorHAnsi"/>
          <w:noProof/>
        </w:rPr>
        <w:t xml:space="preserve"> </w:t>
      </w:r>
      <w:r w:rsidRPr="0009600A">
        <w:rPr>
          <w:rFonts w:ascii="Calibri" w:hAnsi="Calibri" w:cs="Calibri"/>
          <w:b/>
          <w:bCs/>
          <w:noProof/>
        </w:rPr>
        <w:t>cu posibilitatea de subdelegare</w:t>
      </w:r>
      <w:r w:rsidRPr="0009600A">
        <w:rPr>
          <w:rFonts w:asciiTheme="majorHAnsi" w:hAnsiTheme="majorHAnsi" w:cstheme="majorHAnsi"/>
          <w:noProof/>
        </w:rPr>
        <w:t xml:space="preserve"> (numai cu privire la semnarea documentelor și îndeplinirea formalităților),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În acest sens, Consiliul de Administrație este împuternicit, conform celor de mai jos, enumerarea fiind exemplificativă și nu limitativă:</w:t>
      </w:r>
    </w:p>
    <w:p w14:paraId="0DB01CAE" w14:textId="77777777" w:rsidR="00A243CA" w:rsidRPr="0009600A" w:rsidRDefault="00A243CA" w:rsidP="00A243CA">
      <w:pPr>
        <w:spacing w:after="0" w:line="276" w:lineRule="auto"/>
        <w:jc w:val="both"/>
        <w:rPr>
          <w:rFonts w:asciiTheme="majorHAnsi" w:hAnsiTheme="majorHAnsi" w:cstheme="majorHAnsi"/>
          <w:noProof/>
        </w:rPr>
      </w:pPr>
    </w:p>
    <w:p w14:paraId="38490AAA"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decidă cu privire la oportunitatea, valoarea, tipul ofertei, modalitatea de subscriere și perioada de subscriere a fiecărei emisiuni și cu privire la toate detaliile finale ale emisiunii, precum și cu privire la toate operațiunile necesare admiterii obligațiunilor la tranzacționare;</w:t>
      </w:r>
    </w:p>
    <w:p w14:paraId="652AF239" w14:textId="77777777" w:rsidR="00A243CA" w:rsidRPr="0009600A" w:rsidRDefault="00A243CA" w:rsidP="00A243CA">
      <w:pPr>
        <w:pStyle w:val="ListParagraph"/>
        <w:spacing w:after="0" w:line="276" w:lineRule="auto"/>
        <w:ind w:left="1134"/>
        <w:jc w:val="both"/>
        <w:rPr>
          <w:rFonts w:asciiTheme="majorHAnsi" w:hAnsiTheme="majorHAnsi" w:cstheme="majorHAnsi"/>
          <w:noProof/>
        </w:rPr>
      </w:pPr>
    </w:p>
    <w:p w14:paraId="3B9B6613"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modalitatea de determinare a cuponului (dobânzii);</w:t>
      </w:r>
    </w:p>
    <w:p w14:paraId="53A7B9EC" w14:textId="77777777" w:rsidR="00A243CA" w:rsidRPr="0009600A" w:rsidRDefault="00A243CA" w:rsidP="00A243CA">
      <w:pPr>
        <w:pStyle w:val="ListParagraph"/>
        <w:spacing w:after="0" w:line="276" w:lineRule="auto"/>
        <w:ind w:left="1134"/>
        <w:jc w:val="both"/>
        <w:rPr>
          <w:rFonts w:asciiTheme="majorHAnsi" w:hAnsiTheme="majorHAnsi" w:cstheme="majorHAnsi"/>
          <w:noProof/>
        </w:rPr>
      </w:pPr>
    </w:p>
    <w:p w14:paraId="64947676"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adopte, modifice și implementeze proceduri și să stabilească termenii și condițiile subscrierii obligațiunilor în conformitate cu limitele aprobate de AGEA;</w:t>
      </w:r>
    </w:p>
    <w:p w14:paraId="2E918401" w14:textId="77777777" w:rsidR="00A243CA" w:rsidRPr="0009600A" w:rsidRDefault="00A243CA" w:rsidP="00A243CA">
      <w:pPr>
        <w:spacing w:after="0" w:line="276" w:lineRule="auto"/>
        <w:jc w:val="both"/>
        <w:rPr>
          <w:rFonts w:asciiTheme="majorHAnsi" w:hAnsiTheme="majorHAnsi" w:cstheme="majorHAnsi"/>
          <w:noProof/>
        </w:rPr>
      </w:pPr>
    </w:p>
    <w:p w14:paraId="1F81ECDD"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colaboreze și să negocieze contracte cu intermediari, consultanți și/sau alte societăți specializate care să ofere asistență în legătura cu emisiunea de obligațiuni și cu admiterea la tranzacționare a acestora;</w:t>
      </w:r>
    </w:p>
    <w:p w14:paraId="56688D3C" w14:textId="77777777" w:rsidR="00A243CA" w:rsidRPr="0009600A" w:rsidRDefault="00A243CA" w:rsidP="00A243CA">
      <w:pPr>
        <w:spacing w:after="0" w:line="276" w:lineRule="auto"/>
        <w:jc w:val="both"/>
        <w:rPr>
          <w:rFonts w:asciiTheme="majorHAnsi" w:hAnsiTheme="majorHAnsi" w:cstheme="majorHAnsi"/>
          <w:noProof/>
        </w:rPr>
      </w:pPr>
    </w:p>
    <w:p w14:paraId="03FF246C"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constate numărul total de obligațiuni emise și fondurile atrase de Societate în urma emisiunii;</w:t>
      </w:r>
    </w:p>
    <w:p w14:paraId="6E24ECBE" w14:textId="77777777" w:rsidR="00A243CA" w:rsidRPr="0009600A" w:rsidRDefault="00A243CA" w:rsidP="00A243CA">
      <w:pPr>
        <w:pStyle w:val="ListParagraph"/>
        <w:rPr>
          <w:rFonts w:asciiTheme="majorHAnsi" w:hAnsiTheme="majorHAnsi" w:cstheme="majorHAnsi"/>
          <w:noProof/>
        </w:rPr>
      </w:pPr>
    </w:p>
    <w:p w14:paraId="199B26FE"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stabilească destinația fondurilor atrase în urma emisiunii/emisiunilor;</w:t>
      </w:r>
    </w:p>
    <w:p w14:paraId="70339C63" w14:textId="77777777" w:rsidR="00A243CA" w:rsidRPr="0009600A" w:rsidRDefault="00A243CA" w:rsidP="00A243CA">
      <w:pPr>
        <w:pStyle w:val="ListParagraph"/>
        <w:rPr>
          <w:rFonts w:asciiTheme="majorHAnsi" w:hAnsiTheme="majorHAnsi" w:cstheme="majorHAnsi"/>
          <w:noProof/>
        </w:rPr>
      </w:pPr>
    </w:p>
    <w:p w14:paraId="07037210"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redacteze și să semneze oricare document (inclusiv prospecte de emisiune și/sau memorandum-uri de admitere la tranzacționare) și să desfășoare orice operațiuni și formalități cerute în vederea implementării emisiunii de obligațiuni și admiterii la tranzacționare a acestora;</w:t>
      </w:r>
    </w:p>
    <w:p w14:paraId="2A3B791A" w14:textId="77777777" w:rsidR="00A243CA" w:rsidRPr="0009600A" w:rsidRDefault="00A243CA" w:rsidP="00A243CA">
      <w:pPr>
        <w:pStyle w:val="ListParagraph"/>
        <w:rPr>
          <w:rFonts w:asciiTheme="majorHAnsi" w:hAnsiTheme="majorHAnsi" w:cstheme="majorHAnsi"/>
          <w:noProof/>
        </w:rPr>
      </w:pPr>
    </w:p>
    <w:p w14:paraId="46A19125"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opereze înregistrările necesare la Registrul de Obligațiuni al Societății;</w:t>
      </w:r>
    </w:p>
    <w:p w14:paraId="3F4A02D8" w14:textId="77777777" w:rsidR="00A243CA" w:rsidRPr="0009600A" w:rsidRDefault="00A243CA" w:rsidP="00A243CA">
      <w:pPr>
        <w:pStyle w:val="ListParagraph"/>
        <w:rPr>
          <w:rFonts w:asciiTheme="majorHAnsi" w:hAnsiTheme="majorHAnsi" w:cstheme="majorHAnsi"/>
          <w:noProof/>
        </w:rPr>
      </w:pPr>
    </w:p>
    <w:p w14:paraId="155C0079"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să întreprindă toate măsurile și formalitățile necesare în scopul înregistrării și efectuării publicității aferente emisiunii și admiterii la tranzacționare a obligațiunilor și să reprezinte Societatea în fața oricăror autorități, organisme sau societăți în legătură cu emiterea și admiterea la tranzacționare a obligațiunilor, inclusiv prin negocierea și încheierea de contracte cu acestea;</w:t>
      </w:r>
    </w:p>
    <w:p w14:paraId="058AD9EF" w14:textId="77777777" w:rsidR="00A243CA" w:rsidRPr="0009600A" w:rsidRDefault="00A243CA" w:rsidP="00A243CA">
      <w:pPr>
        <w:pStyle w:val="ListParagraph"/>
        <w:rPr>
          <w:rFonts w:asciiTheme="majorHAnsi" w:hAnsiTheme="majorHAnsi" w:cstheme="majorHAnsi"/>
          <w:noProof/>
        </w:rPr>
      </w:pPr>
    </w:p>
    <w:p w14:paraId="3AD74D3D"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stabilirea subscrierilor minime sau maxime, dacă este cazul;</w:t>
      </w:r>
    </w:p>
    <w:p w14:paraId="70BAE577" w14:textId="77777777" w:rsidR="00A243CA" w:rsidRPr="0009600A" w:rsidRDefault="00A243CA" w:rsidP="00A243CA">
      <w:pPr>
        <w:pStyle w:val="ListParagraph"/>
        <w:rPr>
          <w:rFonts w:asciiTheme="majorHAnsi" w:hAnsiTheme="majorHAnsi" w:cstheme="majorHAnsi"/>
          <w:noProof/>
        </w:rPr>
      </w:pPr>
    </w:p>
    <w:p w14:paraId="4D01EAEF"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îndeplinirea formalităților privind pregătirea, derularea și închiderea ofertei având ca obiect obligațiunile, precum și pregătirea documentului de admitere la tranzacționare a obligațiunilor inclusiv, dar fără a se limita la înregistrarea instrumentelor financiare la </w:t>
      </w:r>
      <w:r w:rsidRPr="0009600A">
        <w:rPr>
          <w:rFonts w:asciiTheme="majorHAnsi" w:hAnsiTheme="majorHAnsi" w:cstheme="majorHAnsi"/>
          <w:noProof/>
        </w:rPr>
        <w:lastRenderedPageBreak/>
        <w:t>ASF, semnarea de contracte cu BVB și Depozitarul Central, reprezentarea în fața Comisiei de Admitere la Tranzacționare a BVB;</w:t>
      </w:r>
    </w:p>
    <w:p w14:paraId="5D9EB175" w14:textId="77777777" w:rsidR="00A243CA" w:rsidRPr="0009600A" w:rsidRDefault="00A243CA" w:rsidP="00A243CA">
      <w:pPr>
        <w:pStyle w:val="ListParagraph"/>
        <w:rPr>
          <w:rFonts w:asciiTheme="majorHAnsi" w:hAnsiTheme="majorHAnsi" w:cstheme="majorHAnsi"/>
          <w:noProof/>
        </w:rPr>
      </w:pPr>
    </w:p>
    <w:p w14:paraId="2C0ABF28"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condiției de succes a ofertei privind emisiunea de obligațiuni, dacă va fi cazul, a metodei de alocare în caz de supra-subscriere și a revocabilității ofertei (dacă va fi cazul); </w:t>
      </w:r>
    </w:p>
    <w:p w14:paraId="3354195B" w14:textId="77777777" w:rsidR="00A243CA" w:rsidRPr="0009600A" w:rsidRDefault="00A243CA" w:rsidP="00A243CA">
      <w:pPr>
        <w:pStyle w:val="ListParagraph"/>
        <w:rPr>
          <w:rFonts w:asciiTheme="majorHAnsi" w:hAnsiTheme="majorHAnsi" w:cstheme="majorHAnsi"/>
          <w:noProof/>
        </w:rPr>
      </w:pPr>
    </w:p>
    <w:p w14:paraId="3C5D77E6"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scadența finală a obligațiunilor (maturitatea) și modalitatea de rambursare a obligațiunilor, respectiv a planului de amortizare (reducere a principalului prin plăți periodice), dacă este cazul;</w:t>
      </w:r>
    </w:p>
    <w:p w14:paraId="68CD831A" w14:textId="77777777" w:rsidR="00A243CA" w:rsidRPr="0009600A" w:rsidRDefault="00A243CA" w:rsidP="00A243CA">
      <w:pPr>
        <w:pStyle w:val="ListParagraph"/>
        <w:rPr>
          <w:rFonts w:asciiTheme="majorHAnsi" w:hAnsiTheme="majorHAnsi" w:cstheme="majorHAnsi"/>
          <w:noProof/>
        </w:rPr>
      </w:pPr>
    </w:p>
    <w:p w14:paraId="2F2B6067" w14:textId="77777777" w:rsidR="00A243CA" w:rsidRPr="0009600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adoptarea oricărei decizii, întocmirea documentelor, aprobarea oricăror modificări ale documentației aferente și emiterea oricăror declarații necesare pentru pregătirea emisiunii de obligațiuni, inclusiv, dar fără a se limita la prospect/documentul de ofertă și/sau de admitere la tranzacționare;</w:t>
      </w:r>
    </w:p>
    <w:p w14:paraId="2E1E0EBC" w14:textId="77777777" w:rsidR="00A243CA" w:rsidRPr="0009600A" w:rsidRDefault="00A243CA" w:rsidP="00A243CA">
      <w:pPr>
        <w:pStyle w:val="ListParagraph"/>
        <w:rPr>
          <w:rFonts w:asciiTheme="majorHAnsi" w:hAnsiTheme="majorHAnsi" w:cstheme="majorHAnsi"/>
          <w:noProof/>
        </w:rPr>
      </w:pPr>
    </w:p>
    <w:p w14:paraId="5228086E" w14:textId="77777777" w:rsidR="00A243CA" w:rsidRDefault="00A243CA" w:rsidP="00A243CA">
      <w:pPr>
        <w:pStyle w:val="ListParagraph"/>
        <w:numPr>
          <w:ilvl w:val="2"/>
          <w:numId w:val="8"/>
        </w:numPr>
        <w:spacing w:after="0" w:line="276" w:lineRule="auto"/>
        <w:ind w:left="1134"/>
        <w:jc w:val="both"/>
        <w:rPr>
          <w:rFonts w:asciiTheme="majorHAnsi" w:hAnsiTheme="majorHAnsi" w:cstheme="majorHAnsi"/>
          <w:noProof/>
        </w:rPr>
      </w:pPr>
      <w:r w:rsidRPr="0009600A">
        <w:rPr>
          <w:rFonts w:asciiTheme="majorHAnsi" w:hAnsiTheme="majorHAnsi" w:cstheme="majorHAnsi"/>
          <w:noProof/>
        </w:rPr>
        <w:t xml:space="preserve">stabilirea oricăror alte detalii ale ofertei. </w:t>
      </w:r>
    </w:p>
    <w:p w14:paraId="64D83E66" w14:textId="77777777" w:rsidR="00A243CA" w:rsidRPr="0009600A" w:rsidRDefault="00A243CA" w:rsidP="00A243CA">
      <w:pPr>
        <w:pStyle w:val="ListParagraph"/>
        <w:rPr>
          <w:rFonts w:asciiTheme="majorHAnsi" w:hAnsiTheme="majorHAnsi" w:cstheme="majorHAnsi"/>
          <w:noProof/>
        </w:rPr>
      </w:pPr>
    </w:p>
    <w:p w14:paraId="56DEB21C"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3863BAF5"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65081A39"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02E2F904" w14:textId="77777777" w:rsidR="00A243CA" w:rsidRPr="0009600A" w:rsidRDefault="00A243CA" w:rsidP="00A243CA">
      <w:pPr>
        <w:spacing w:after="0" w:line="276" w:lineRule="auto"/>
        <w:ind w:left="284"/>
        <w:jc w:val="both"/>
        <w:rPr>
          <w:rFonts w:asciiTheme="majorHAnsi" w:hAnsiTheme="majorHAnsi" w:cstheme="majorHAnsi"/>
          <w:noProof/>
          <w:highlight w:val="yellow"/>
        </w:rPr>
      </w:pPr>
    </w:p>
    <w:p w14:paraId="5877CF0A" w14:textId="77777777" w:rsidR="00A243C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Stabilirea datei de înregistrare</w:t>
      </w:r>
      <w:r w:rsidRPr="0009600A">
        <w:rPr>
          <w:rFonts w:asciiTheme="majorHAnsi" w:hAnsiTheme="majorHAnsi" w:cstheme="majorHAnsi"/>
          <w:noProof/>
        </w:rPr>
        <w:t xml:space="preserve"> (propunere: 17.05.2024), </w:t>
      </w:r>
      <w:r w:rsidRPr="0009600A">
        <w:rPr>
          <w:rFonts w:ascii="Calibri" w:hAnsi="Calibri" w:cs="Calibri"/>
          <w:b/>
          <w:bCs/>
          <w:noProof/>
        </w:rPr>
        <w:t>dată ex-date</w:t>
      </w:r>
      <w:r w:rsidRPr="0009600A">
        <w:rPr>
          <w:rFonts w:asciiTheme="majorHAnsi" w:hAnsiTheme="majorHAnsi" w:cstheme="majorHAnsi"/>
          <w:noProof/>
        </w:rPr>
        <w:t xml:space="preserve"> (propunere: 16.05.2023) pentru Hotărârile Adunării Generale Extraordinare.</w:t>
      </w:r>
    </w:p>
    <w:p w14:paraId="074EA282" w14:textId="77777777" w:rsidR="00A243CA" w:rsidRDefault="00A243CA" w:rsidP="00A243CA">
      <w:pPr>
        <w:spacing w:after="0" w:line="276" w:lineRule="auto"/>
        <w:ind w:left="284"/>
        <w:jc w:val="both"/>
        <w:rPr>
          <w:rFonts w:asciiTheme="majorHAnsi" w:hAnsiTheme="majorHAnsi" w:cstheme="majorHAnsi"/>
          <w:noProof/>
        </w:rPr>
      </w:pPr>
    </w:p>
    <w:p w14:paraId="6EBD009C"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pentru </w:t>
      </w:r>
      <w:r w:rsidRPr="00C34F9C">
        <w:rPr>
          <w:rFonts w:asciiTheme="majorHAnsi" w:hAnsiTheme="majorHAnsi" w:cstheme="majorHAnsi"/>
          <w:noProof/>
        </w:rPr>
        <w:sym w:font="Symbol" w:char="F07F"/>
      </w:r>
    </w:p>
    <w:p w14:paraId="63CD4107" w14:textId="77777777" w:rsidR="00A243CA" w:rsidRPr="00C34F9C"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împotrivă </w:t>
      </w:r>
      <w:r w:rsidRPr="00C34F9C">
        <w:rPr>
          <w:rFonts w:asciiTheme="majorHAnsi" w:hAnsiTheme="majorHAnsi" w:cstheme="majorHAnsi"/>
          <w:noProof/>
        </w:rPr>
        <w:sym w:font="Symbol" w:char="F07F"/>
      </w:r>
    </w:p>
    <w:p w14:paraId="54449A29"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C34F9C">
        <w:rPr>
          <w:rFonts w:asciiTheme="majorHAnsi" w:hAnsiTheme="majorHAnsi" w:cstheme="majorHAnsi"/>
          <w:noProof/>
        </w:rPr>
        <w:t xml:space="preserve">abținere </w:t>
      </w:r>
      <w:r w:rsidRPr="00C34F9C">
        <w:rPr>
          <w:rFonts w:asciiTheme="majorHAnsi" w:hAnsiTheme="majorHAnsi" w:cstheme="majorHAnsi"/>
          <w:noProof/>
        </w:rPr>
        <w:sym w:font="Symbol" w:char="F07F"/>
      </w:r>
    </w:p>
    <w:p w14:paraId="66DAF0F5" w14:textId="77777777" w:rsidR="00A243CA" w:rsidRPr="0009600A" w:rsidRDefault="00A243CA" w:rsidP="00A243CA">
      <w:pPr>
        <w:spacing w:after="0" w:line="276" w:lineRule="auto"/>
        <w:jc w:val="both"/>
        <w:rPr>
          <w:rFonts w:asciiTheme="majorHAnsi" w:hAnsiTheme="majorHAnsi" w:cstheme="majorHAnsi"/>
          <w:noProof/>
        </w:rPr>
      </w:pPr>
    </w:p>
    <w:p w14:paraId="785ACD94" w14:textId="77777777" w:rsidR="00A243CA" w:rsidRPr="0009600A" w:rsidRDefault="00A243CA" w:rsidP="00A243CA">
      <w:pPr>
        <w:pStyle w:val="ListParagraph"/>
        <w:numPr>
          <w:ilvl w:val="0"/>
          <w:numId w:val="9"/>
        </w:numPr>
        <w:spacing w:after="0" w:line="276" w:lineRule="auto"/>
        <w:ind w:left="284" w:firstLine="0"/>
        <w:jc w:val="both"/>
        <w:rPr>
          <w:rFonts w:asciiTheme="majorHAnsi" w:hAnsiTheme="majorHAnsi" w:cstheme="majorHAnsi"/>
          <w:noProof/>
        </w:rPr>
      </w:pPr>
      <w:r w:rsidRPr="0009600A">
        <w:rPr>
          <w:rFonts w:ascii="Calibri" w:hAnsi="Calibri" w:cs="Calibri"/>
          <w:b/>
          <w:bCs/>
          <w:noProof/>
        </w:rPr>
        <w:t>Împuternicirea președintelui consiliului de administrație</w:t>
      </w:r>
      <w:r w:rsidRPr="0009600A">
        <w:rPr>
          <w:rFonts w:asciiTheme="majorHAnsi" w:hAnsiTheme="majorHAnsi" w:cstheme="majorHAnsi"/>
          <w:noProof/>
        </w:rPr>
        <w:t>, cu drept de substituire/delegare, în vederea semnării oricăror documente (inclusiv hotărârile AGEA și actul constitutiv actualizat al Societății) și întreprinderii oricăror formalități necesare, inclusiv reprezentarea Societății în fața oricăror autorități publice/persoane fizice/persoane juridice, pentru aducerea la îndeplinire a celor hotărâte de AGEA.</w:t>
      </w:r>
    </w:p>
    <w:p w14:paraId="4E8D9A28" w14:textId="77777777" w:rsidR="00A243CA" w:rsidRPr="0009600A" w:rsidRDefault="00A243CA" w:rsidP="00A243CA">
      <w:pPr>
        <w:widowControl w:val="0"/>
        <w:suppressAutoHyphens/>
        <w:autoSpaceDN w:val="0"/>
        <w:spacing w:after="0" w:line="360" w:lineRule="auto"/>
        <w:jc w:val="both"/>
        <w:rPr>
          <w:rFonts w:asciiTheme="majorHAnsi" w:eastAsia="Lucida Sans Unicode" w:hAnsiTheme="majorHAnsi" w:cstheme="majorHAnsi"/>
          <w:noProof/>
          <w:kern w:val="3"/>
          <w:lang w:eastAsia="zh-CN" w:bidi="hi-IN"/>
        </w:rPr>
      </w:pPr>
    </w:p>
    <w:p w14:paraId="295FBFE2"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pentru </w:t>
      </w:r>
      <w:r w:rsidRPr="0009600A">
        <w:rPr>
          <w:rFonts w:asciiTheme="majorHAnsi" w:hAnsiTheme="majorHAnsi" w:cstheme="majorHAnsi"/>
          <w:noProof/>
        </w:rPr>
        <w:sym w:font="Symbol" w:char="F07F"/>
      </w:r>
    </w:p>
    <w:p w14:paraId="5951024A"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împotrivă </w:t>
      </w:r>
      <w:r w:rsidRPr="0009600A">
        <w:rPr>
          <w:rFonts w:asciiTheme="majorHAnsi" w:hAnsiTheme="majorHAnsi" w:cstheme="majorHAnsi"/>
          <w:noProof/>
        </w:rPr>
        <w:sym w:font="Symbol" w:char="F07F"/>
      </w:r>
    </w:p>
    <w:p w14:paraId="13D1ABC6" w14:textId="77777777" w:rsidR="00A243CA" w:rsidRPr="0009600A" w:rsidRDefault="00A243CA" w:rsidP="00A243CA">
      <w:pPr>
        <w:pStyle w:val="ListParagraph"/>
        <w:spacing w:after="0" w:line="360" w:lineRule="auto"/>
        <w:ind w:left="0"/>
        <w:jc w:val="center"/>
        <w:rPr>
          <w:rFonts w:asciiTheme="majorHAnsi" w:hAnsiTheme="majorHAnsi" w:cstheme="majorHAnsi"/>
          <w:noProof/>
        </w:rPr>
      </w:pPr>
      <w:r w:rsidRPr="0009600A">
        <w:rPr>
          <w:rFonts w:asciiTheme="majorHAnsi" w:hAnsiTheme="majorHAnsi" w:cstheme="majorHAnsi"/>
          <w:noProof/>
        </w:rPr>
        <w:t xml:space="preserve">abținere </w:t>
      </w:r>
      <w:r w:rsidRPr="0009600A">
        <w:rPr>
          <w:rFonts w:asciiTheme="majorHAnsi" w:hAnsiTheme="majorHAnsi" w:cstheme="majorHAnsi"/>
          <w:noProof/>
        </w:rPr>
        <w:sym w:font="Symbol" w:char="F07F"/>
      </w:r>
    </w:p>
    <w:p w14:paraId="15E968B1" w14:textId="77777777" w:rsidR="00C32891" w:rsidRDefault="00C32891" w:rsidP="00C32891">
      <w:pPr>
        <w:pStyle w:val="ListParagraph"/>
        <w:spacing w:after="0" w:line="360" w:lineRule="auto"/>
        <w:ind w:left="0"/>
        <w:jc w:val="both"/>
        <w:rPr>
          <w:rFonts w:asciiTheme="majorHAnsi" w:hAnsiTheme="majorHAnsi" w:cstheme="majorHAnsi"/>
          <w:noProof/>
        </w:rPr>
      </w:pPr>
    </w:p>
    <w:p w14:paraId="366204ED" w14:textId="77777777" w:rsidR="00C32891" w:rsidRPr="002D155C" w:rsidRDefault="00C32891" w:rsidP="00C32891">
      <w:pPr>
        <w:spacing w:after="0" w:line="360" w:lineRule="auto"/>
        <w:jc w:val="both"/>
        <w:rPr>
          <w:rFonts w:asciiTheme="majorHAnsi" w:hAnsiTheme="majorHAnsi" w:cstheme="majorHAnsi"/>
          <w:noProof/>
        </w:rPr>
      </w:pPr>
      <w:r w:rsidRPr="002D155C">
        <w:rPr>
          <w:rFonts w:asciiTheme="majorHAnsi" w:hAnsiTheme="majorHAnsi" w:cstheme="majorHAnsi"/>
          <w:noProof/>
        </w:rPr>
        <w:t>Acționarul îşi asumă întreaga răspundere pentru completarea corectă şi transmiterea în siguranţă a prezentului buletin de vot.</w:t>
      </w:r>
    </w:p>
    <w:p w14:paraId="1B8605B5" w14:textId="77777777" w:rsidR="000F25C0" w:rsidRPr="00C32891" w:rsidRDefault="000F25C0" w:rsidP="000F25C0">
      <w:pPr>
        <w:pStyle w:val="ListParagraph"/>
        <w:spacing w:after="0" w:line="360" w:lineRule="auto"/>
        <w:ind w:left="0"/>
        <w:jc w:val="both"/>
        <w:rPr>
          <w:rFonts w:asciiTheme="majorHAnsi" w:hAnsiTheme="majorHAnsi" w:cstheme="majorHAnsi"/>
          <w:noProof/>
        </w:rPr>
      </w:pPr>
    </w:p>
    <w:p w14:paraId="7F95BD41" w14:textId="77777777" w:rsidR="000F25C0" w:rsidRPr="00C32891" w:rsidRDefault="000F25C0" w:rsidP="000F25C0">
      <w:pPr>
        <w:pStyle w:val="ListParagraph"/>
        <w:spacing w:after="0" w:line="360" w:lineRule="auto"/>
        <w:ind w:left="0"/>
        <w:jc w:val="both"/>
        <w:rPr>
          <w:rFonts w:asciiTheme="majorHAnsi" w:hAnsiTheme="majorHAnsi" w:cstheme="majorHAnsi"/>
          <w:noProof/>
        </w:rPr>
      </w:pPr>
    </w:p>
    <w:p w14:paraId="2E8A51E9" w14:textId="77777777" w:rsidR="000F25C0" w:rsidRPr="00C32891" w:rsidRDefault="000F25C0" w:rsidP="000F25C0">
      <w:pPr>
        <w:pStyle w:val="ListParagraph"/>
        <w:spacing w:after="0" w:line="360" w:lineRule="auto"/>
        <w:ind w:left="0"/>
        <w:jc w:val="both"/>
        <w:rPr>
          <w:rFonts w:asciiTheme="majorHAnsi" w:hAnsiTheme="majorHAnsi" w:cstheme="majorHAnsi"/>
          <w:noProof/>
        </w:rPr>
      </w:pPr>
    </w:p>
    <w:p w14:paraId="7F4D30AE" w14:textId="0169EF2D" w:rsidR="00682B3C" w:rsidRPr="00C32891" w:rsidRDefault="00682B3C" w:rsidP="00682B3C">
      <w:pPr>
        <w:pStyle w:val="ListParagraph"/>
        <w:spacing w:after="0" w:line="360" w:lineRule="auto"/>
        <w:ind w:left="0"/>
        <w:jc w:val="both"/>
        <w:rPr>
          <w:rFonts w:asciiTheme="majorHAnsi" w:hAnsiTheme="majorHAnsi" w:cstheme="majorHAnsi"/>
          <w:noProof/>
        </w:rPr>
      </w:pPr>
      <w:r w:rsidRPr="00C32891">
        <w:rPr>
          <w:rFonts w:asciiTheme="majorHAnsi" w:hAnsiTheme="majorHAnsi" w:cstheme="majorHAnsi"/>
          <w:noProof/>
        </w:rPr>
        <w:t>Data</w:t>
      </w:r>
      <w:bookmarkStart w:id="7" w:name="_Hlk54190814"/>
      <w:r w:rsidRPr="00C32891">
        <w:rPr>
          <w:rFonts w:asciiTheme="majorHAnsi" w:hAnsiTheme="majorHAnsi" w:cstheme="majorHAnsi"/>
          <w:noProof/>
        </w:rPr>
        <w:t>_________________</w:t>
      </w:r>
      <w:bookmarkEnd w:id="7"/>
      <w:r w:rsidRPr="00C32891">
        <w:rPr>
          <w:rFonts w:asciiTheme="majorHAnsi" w:hAnsiTheme="majorHAnsi" w:cstheme="majorHAnsi"/>
          <w:noProof/>
        </w:rPr>
        <w:t xml:space="preserve"> </w:t>
      </w:r>
      <w:r w:rsidRPr="00C32891">
        <w:rPr>
          <w:rFonts w:asciiTheme="majorHAnsi" w:hAnsiTheme="majorHAnsi" w:cstheme="majorHAnsi"/>
          <w:noProof/>
        </w:rPr>
        <w:tab/>
      </w:r>
      <w:r w:rsidRPr="00C32891">
        <w:rPr>
          <w:rFonts w:asciiTheme="majorHAnsi" w:hAnsiTheme="majorHAnsi" w:cstheme="majorHAnsi"/>
          <w:noProof/>
        </w:rPr>
        <w:tab/>
      </w:r>
      <w:r w:rsidRPr="00C32891">
        <w:rPr>
          <w:rFonts w:asciiTheme="majorHAnsi" w:hAnsiTheme="majorHAnsi" w:cstheme="majorHAnsi"/>
          <w:noProof/>
        </w:rPr>
        <w:tab/>
      </w:r>
      <w:r w:rsidR="00C32891">
        <w:rPr>
          <w:rFonts w:asciiTheme="majorHAnsi" w:hAnsiTheme="majorHAnsi" w:cstheme="majorHAnsi"/>
          <w:noProof/>
        </w:rPr>
        <w:t xml:space="preserve">   </w:t>
      </w:r>
      <w:r w:rsidRPr="00C32891">
        <w:rPr>
          <w:rFonts w:asciiTheme="majorHAnsi" w:hAnsiTheme="majorHAnsi" w:cstheme="majorHAnsi"/>
          <w:noProof/>
        </w:rPr>
        <w:tab/>
        <w:t xml:space="preserve">                        </w:t>
      </w:r>
      <w:r w:rsidR="00C32891">
        <w:rPr>
          <w:rFonts w:asciiTheme="majorHAnsi" w:hAnsiTheme="majorHAnsi" w:cstheme="majorHAnsi"/>
          <w:noProof/>
        </w:rPr>
        <w:t xml:space="preserve">       </w:t>
      </w:r>
      <w:r w:rsidRPr="00C32891">
        <w:rPr>
          <w:rFonts w:asciiTheme="majorHAnsi" w:hAnsiTheme="majorHAnsi" w:cstheme="majorHAnsi"/>
          <w:noProof/>
        </w:rPr>
        <w:t xml:space="preserve">    Denumirea acționarului</w:t>
      </w:r>
    </w:p>
    <w:p w14:paraId="4F518895"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bookmarkStart w:id="8" w:name="_Hlk54190843"/>
      <w:r w:rsidRPr="00C32891">
        <w:rPr>
          <w:rFonts w:asciiTheme="majorHAnsi" w:hAnsiTheme="majorHAnsi" w:cstheme="majorHAnsi"/>
          <w:noProof/>
        </w:rPr>
        <w:t>__________________________</w:t>
      </w:r>
      <w:bookmarkEnd w:id="8"/>
    </w:p>
    <w:p w14:paraId="05F1A243"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p>
    <w:p w14:paraId="21EA878F"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r w:rsidRPr="00C32891">
        <w:rPr>
          <w:rFonts w:asciiTheme="majorHAnsi" w:hAnsiTheme="majorHAnsi" w:cstheme="majorHAnsi"/>
          <w:noProof/>
        </w:rPr>
        <w:t>Numele reprezentantului legal</w:t>
      </w:r>
    </w:p>
    <w:p w14:paraId="3D5F3AA9"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r w:rsidRPr="00C32891">
        <w:rPr>
          <w:rFonts w:asciiTheme="majorHAnsi" w:hAnsiTheme="majorHAnsi" w:cstheme="majorHAnsi"/>
          <w:noProof/>
        </w:rPr>
        <w:t>__________________________</w:t>
      </w:r>
    </w:p>
    <w:p w14:paraId="095A4AB4"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p>
    <w:p w14:paraId="67F07EAE" w14:textId="77777777" w:rsidR="00682B3C" w:rsidRPr="00C32891" w:rsidRDefault="00682B3C" w:rsidP="00682B3C">
      <w:pPr>
        <w:pStyle w:val="ListParagraph"/>
        <w:spacing w:after="0" w:line="360" w:lineRule="auto"/>
        <w:ind w:left="0"/>
        <w:jc w:val="right"/>
        <w:rPr>
          <w:rFonts w:asciiTheme="majorHAnsi" w:hAnsiTheme="majorHAnsi" w:cstheme="majorHAnsi"/>
          <w:noProof/>
        </w:rPr>
      </w:pPr>
      <w:r w:rsidRPr="00C32891">
        <w:rPr>
          <w:rFonts w:asciiTheme="majorHAnsi" w:hAnsiTheme="majorHAnsi" w:cstheme="majorHAnsi"/>
          <w:noProof/>
        </w:rPr>
        <w:t>Semnătura și ștampila</w:t>
      </w:r>
    </w:p>
    <w:p w14:paraId="16608B39" w14:textId="1038C842" w:rsidR="000F25C0" w:rsidRPr="00C32891" w:rsidRDefault="00682B3C" w:rsidP="00682B3C">
      <w:pPr>
        <w:pStyle w:val="ListParagraph"/>
        <w:spacing w:after="0" w:line="360" w:lineRule="auto"/>
        <w:ind w:left="0"/>
        <w:jc w:val="right"/>
        <w:rPr>
          <w:rFonts w:asciiTheme="majorHAnsi" w:hAnsiTheme="majorHAnsi" w:cstheme="majorHAnsi"/>
          <w:bCs/>
          <w:noProof/>
        </w:rPr>
      </w:pPr>
      <w:r w:rsidRPr="00C32891">
        <w:rPr>
          <w:rFonts w:asciiTheme="majorHAnsi" w:hAnsiTheme="majorHAnsi" w:cstheme="majorHAnsi"/>
          <w:noProof/>
        </w:rPr>
        <w:t>__________________________</w:t>
      </w:r>
    </w:p>
    <w:sectPr w:rsidR="000F25C0" w:rsidRPr="00C32891" w:rsidSect="00C42051">
      <w:headerReference w:type="default" r:id="rId7"/>
      <w:footerReference w:type="default" r:id="rId8"/>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2FE25" w14:textId="77777777" w:rsidR="00C42051" w:rsidRDefault="00C42051" w:rsidP="000F25C0">
      <w:pPr>
        <w:spacing w:after="0" w:line="240" w:lineRule="auto"/>
      </w:pPr>
      <w:r>
        <w:separator/>
      </w:r>
    </w:p>
  </w:endnote>
  <w:endnote w:type="continuationSeparator" w:id="0">
    <w:p w14:paraId="54267FBE" w14:textId="77777777" w:rsidR="00C42051" w:rsidRDefault="00C42051"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325520888"/>
      <w:docPartObj>
        <w:docPartGallery w:val="Page Numbers (Bottom of Page)"/>
        <w:docPartUnique/>
      </w:docPartObj>
    </w:sdtPr>
    <w:sdtEndPr>
      <w:rPr>
        <w:noProof/>
      </w:rPr>
    </w:sdtEndPr>
    <w:sdtContent>
      <w:p w14:paraId="4B21A39D" w14:textId="4CD925F9" w:rsidR="000F25C0" w:rsidRPr="001928BD" w:rsidRDefault="000F25C0" w:rsidP="000F25C0">
        <w:pPr>
          <w:pStyle w:val="Footer"/>
          <w:jc w:val="center"/>
          <w:rPr>
            <w:rFonts w:asciiTheme="majorHAnsi" w:hAnsiTheme="majorHAnsi" w:cstheme="majorHAnsi"/>
            <w:sz w:val="18"/>
            <w:szCs w:val="18"/>
          </w:rPr>
        </w:pPr>
        <w:r w:rsidRPr="001928BD">
          <w:rPr>
            <w:rFonts w:asciiTheme="majorHAnsi" w:hAnsiTheme="majorHAnsi" w:cstheme="majorHAnsi"/>
            <w:sz w:val="18"/>
            <w:szCs w:val="18"/>
          </w:rPr>
          <w:fldChar w:fldCharType="begin"/>
        </w:r>
        <w:r w:rsidRPr="001928BD">
          <w:rPr>
            <w:rFonts w:asciiTheme="majorHAnsi" w:hAnsiTheme="majorHAnsi" w:cstheme="majorHAnsi"/>
            <w:sz w:val="18"/>
            <w:szCs w:val="18"/>
          </w:rPr>
          <w:instrText xml:space="preserve"> PAGE   \* MERGEFORMAT </w:instrText>
        </w:r>
        <w:r w:rsidRPr="001928BD">
          <w:rPr>
            <w:rFonts w:asciiTheme="majorHAnsi" w:hAnsiTheme="majorHAnsi" w:cstheme="majorHAnsi"/>
            <w:sz w:val="18"/>
            <w:szCs w:val="18"/>
          </w:rPr>
          <w:fldChar w:fldCharType="separate"/>
        </w:r>
        <w:r w:rsidRPr="001928BD">
          <w:rPr>
            <w:rFonts w:asciiTheme="majorHAnsi" w:hAnsiTheme="majorHAnsi" w:cstheme="majorHAnsi"/>
            <w:noProof/>
            <w:sz w:val="18"/>
            <w:szCs w:val="18"/>
          </w:rPr>
          <w:t>2</w:t>
        </w:r>
        <w:r w:rsidRPr="001928BD">
          <w:rPr>
            <w:rFonts w:asciiTheme="majorHAnsi" w:hAnsiTheme="majorHAnsi" w:cstheme="maj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1AA1" w14:textId="77777777" w:rsidR="00C42051" w:rsidRDefault="00C42051" w:rsidP="000F25C0">
      <w:pPr>
        <w:spacing w:after="0" w:line="240" w:lineRule="auto"/>
      </w:pPr>
      <w:r>
        <w:separator/>
      </w:r>
    </w:p>
  </w:footnote>
  <w:footnote w:type="continuationSeparator" w:id="0">
    <w:p w14:paraId="35D0CCA7" w14:textId="77777777" w:rsidR="00C42051" w:rsidRDefault="00C42051" w:rsidP="000F2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2CB" w14:textId="43FC96EA" w:rsidR="00AD2549" w:rsidRDefault="00AD2549">
    <w:pPr>
      <w:pStyle w:val="Header"/>
    </w:pPr>
    <w:r w:rsidRPr="00C45FC8">
      <w:rPr>
        <w:rFonts w:asciiTheme="majorHAnsi" w:hAnsiTheme="majorHAnsi" w:cstheme="majorHAnsi"/>
        <w:noProof/>
        <w:sz w:val="20"/>
        <w:szCs w:val="20"/>
        <w:lang w:val="pl-PL"/>
      </w:rPr>
      <w:drawing>
        <wp:anchor distT="0" distB="0" distL="114300" distR="114300" simplePos="0" relativeHeight="251659264" behindDoc="0" locked="0" layoutInCell="1" allowOverlap="1" wp14:anchorId="4C366912" wp14:editId="2EB9C11B">
          <wp:simplePos x="0" y="0"/>
          <wp:positionH relativeFrom="column">
            <wp:posOffset>3232997</wp:posOffset>
          </wp:positionH>
          <wp:positionV relativeFrom="paragraph">
            <wp:posOffset>-304021</wp:posOffset>
          </wp:positionV>
          <wp:extent cx="2541600" cy="572400"/>
          <wp:effectExtent l="0" t="0" r="0" b="0"/>
          <wp:wrapThrough wrapText="bothSides">
            <wp:wrapPolygon edited="0">
              <wp:start x="0" y="0"/>
              <wp:lineTo x="0" y="21097"/>
              <wp:lineTo x="21481" y="21097"/>
              <wp:lineTo x="21481" y="0"/>
              <wp:lineTo x="0"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416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3C57"/>
    <w:multiLevelType w:val="multilevel"/>
    <w:tmpl w:val="19F2ACD2"/>
    <w:lvl w:ilvl="0">
      <w:start w:val="1"/>
      <w:numFmt w:val="decimal"/>
      <w:lvlText w:val="%1."/>
      <w:lvlJc w:val="left"/>
      <w:pPr>
        <w:ind w:left="1556"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BF60FC8"/>
    <w:multiLevelType w:val="hybridMultilevel"/>
    <w:tmpl w:val="1F94ED8A"/>
    <w:lvl w:ilvl="0" w:tplc="76062D72">
      <w:start w:val="1"/>
      <w:numFmt w:val="decimal"/>
      <w:lvlText w:val="%1."/>
      <w:lvlJc w:val="left"/>
      <w:pPr>
        <w:ind w:left="360" w:hanging="360"/>
      </w:pPr>
      <w:rPr>
        <w:rFonts w:ascii="Calibri" w:hAnsi="Calibri" w:cs="Calibri" w:hint="default"/>
        <w:b/>
        <w:bCs/>
        <w:i w:val="0"/>
        <w:i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3437FA4"/>
    <w:multiLevelType w:val="hybridMultilevel"/>
    <w:tmpl w:val="5FF00C3C"/>
    <w:lvl w:ilvl="0" w:tplc="FFFFFFFF">
      <w:start w:val="1"/>
      <w:numFmt w:val="decimal"/>
      <w:suff w:val="space"/>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DF3C8A74">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BD95BA4"/>
    <w:multiLevelType w:val="hybridMultilevel"/>
    <w:tmpl w:val="D4C2B86C"/>
    <w:lvl w:ilvl="0" w:tplc="84F41014">
      <w:start w:val="1"/>
      <w:numFmt w:val="decimal"/>
      <w:lvlText w:val="%1."/>
      <w:lvlJc w:val="left"/>
      <w:pPr>
        <w:ind w:left="360" w:hanging="360"/>
      </w:pPr>
      <w:rPr>
        <w:rFonts w:asciiTheme="minorHAnsi" w:hAnsiTheme="minorHAnsi" w:cstheme="minorHAnsi"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5906269">
    <w:abstractNumId w:val="1"/>
  </w:num>
  <w:num w:numId="2" w16cid:durableId="479493996">
    <w:abstractNumId w:val="4"/>
  </w:num>
  <w:num w:numId="3" w16cid:durableId="1854955041">
    <w:abstractNumId w:val="5"/>
  </w:num>
  <w:num w:numId="4" w16cid:durableId="1025057371">
    <w:abstractNumId w:val="3"/>
  </w:num>
  <w:num w:numId="5" w16cid:durableId="1711957845">
    <w:abstractNumId w:val="8"/>
  </w:num>
  <w:num w:numId="6" w16cid:durableId="6812058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925880">
    <w:abstractNumId w:val="7"/>
  </w:num>
  <w:num w:numId="8" w16cid:durableId="597174627">
    <w:abstractNumId w:val="6"/>
  </w:num>
  <w:num w:numId="9" w16cid:durableId="190336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7095E"/>
    <w:rsid w:val="001928BD"/>
    <w:rsid w:val="001A3A00"/>
    <w:rsid w:val="002C7CDA"/>
    <w:rsid w:val="002E5F41"/>
    <w:rsid w:val="004455BA"/>
    <w:rsid w:val="004D5C33"/>
    <w:rsid w:val="00620A57"/>
    <w:rsid w:val="00626770"/>
    <w:rsid w:val="0063425D"/>
    <w:rsid w:val="00682B3C"/>
    <w:rsid w:val="007B6A45"/>
    <w:rsid w:val="008D2962"/>
    <w:rsid w:val="008F7A14"/>
    <w:rsid w:val="00A10A77"/>
    <w:rsid w:val="00A243CA"/>
    <w:rsid w:val="00A92F51"/>
    <w:rsid w:val="00AD2549"/>
    <w:rsid w:val="00BD1E43"/>
    <w:rsid w:val="00C00A29"/>
    <w:rsid w:val="00C32891"/>
    <w:rsid w:val="00C42051"/>
    <w:rsid w:val="00CB7B15"/>
    <w:rsid w:val="00D003A8"/>
    <w:rsid w:val="00D3089E"/>
    <w:rsid w:val="00E55A5F"/>
    <w:rsid w:val="00E6733F"/>
    <w:rsid w:val="00E84746"/>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10</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Andreea Tanase</cp:lastModifiedBy>
  <cp:revision>11</cp:revision>
  <dcterms:created xsi:type="dcterms:W3CDTF">2021-05-21T14:41:00Z</dcterms:created>
  <dcterms:modified xsi:type="dcterms:W3CDTF">2024-03-27T12:29:00Z</dcterms:modified>
</cp:coreProperties>
</file>