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550B9B6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shareholders legal entities</w:t>
      </w:r>
    </w:p>
    <w:p w14:paraId="489CFEB3" w14:textId="6D1D684E"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w:t>
      </w:r>
      <w:r w:rsidR="00062A8E">
        <w:rPr>
          <w:rFonts w:asciiTheme="majorHAnsi" w:eastAsia="DaxlinePro-Light" w:hAnsiTheme="majorHAnsi" w:cstheme="majorHAnsi"/>
          <w:bCs/>
          <w:sz w:val="20"/>
          <w:szCs w:val="20"/>
        </w:rPr>
        <w:t>Ordinary</w:t>
      </w:r>
      <w:r w:rsidRPr="00EB5F83">
        <w:rPr>
          <w:rFonts w:asciiTheme="majorHAnsi" w:eastAsia="DaxlinePro-Light" w:hAnsiTheme="majorHAnsi" w:cstheme="majorHAnsi"/>
          <w:bCs/>
          <w:sz w:val="20"/>
          <w:szCs w:val="20"/>
        </w:rPr>
        <w:t xml:space="preserve">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sidR="00062A8E">
        <w:rPr>
          <w:rFonts w:asciiTheme="majorHAnsi" w:eastAsia="DaxlinePro-Light" w:hAnsiTheme="majorHAnsi" w:cstheme="majorHAnsi"/>
          <w:bCs/>
          <w:sz w:val="20"/>
          <w:szCs w:val="20"/>
        </w:rPr>
        <w:t>OGSM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13AE4AEC"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864F69">
        <w:rPr>
          <w:rFonts w:asciiTheme="majorHAnsi" w:eastAsia="DaxlinePro-Light" w:hAnsiTheme="majorHAnsi" w:cstheme="majorHAnsi"/>
          <w:bCs/>
          <w:sz w:val="20"/>
          <w:szCs w:val="20"/>
        </w:rPr>
        <w:t>3</w:t>
      </w:r>
      <w:r w:rsidR="00051497">
        <w:rPr>
          <w:rFonts w:asciiTheme="majorHAnsi" w:eastAsia="DaxlinePro-Light" w:hAnsiTheme="majorHAnsi" w:cstheme="majorHAnsi"/>
          <w:bCs/>
          <w:sz w:val="20"/>
          <w:szCs w:val="20"/>
        </w:rPr>
        <w:t>/2</w:t>
      </w:r>
      <w:r w:rsidR="00864F69">
        <w:rPr>
          <w:rFonts w:asciiTheme="majorHAnsi" w:eastAsia="DaxlinePro-Light" w:hAnsiTheme="majorHAnsi" w:cstheme="majorHAnsi"/>
          <w:bCs/>
          <w:sz w:val="20"/>
          <w:szCs w:val="20"/>
        </w:rPr>
        <w:t xml:space="preserve">4 June </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20330B4C" w14:textId="28818402"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Pr>
          <w:rFonts w:asciiTheme="majorHAnsi" w:eastAsia="DaxlinePro-Light" w:hAnsiTheme="majorHAnsi" w:cstheme="majorHAnsi"/>
          <w:sz w:val="20"/>
          <w:szCs w:val="20"/>
        </w:rPr>
        <w:t>The Underwirtten</w:t>
      </w:r>
      <w:r w:rsidRPr="007F15B3">
        <w:rPr>
          <w:rFonts w:asciiTheme="majorHAnsi" w:eastAsia="DaxlinePro-Light" w:hAnsiTheme="majorHAnsi" w:cstheme="majorHAnsi"/>
          <w:sz w:val="20"/>
          <w:szCs w:val="20"/>
        </w:rPr>
        <w:t>, _______________________________________________________________________</w:t>
      </w:r>
    </w:p>
    <w:p w14:paraId="614522BF" w14:textId="77777777" w:rsidR="007F15B3" w:rsidRPr="007F15B3" w:rsidRDefault="007F15B3" w:rsidP="007F15B3">
      <w:pPr>
        <w:spacing w:before="120" w:after="120" w:line="240" w:lineRule="auto"/>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w:t>
      </w:r>
    </w:p>
    <w:p w14:paraId="3452E5CF" w14:textId="3277788B"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 xml:space="preserve">with the registered office located in _______________________________________________________________, registered </w:t>
      </w:r>
      <w:r>
        <w:rPr>
          <w:rFonts w:asciiTheme="majorHAnsi" w:eastAsia="DaxlinePro-Light" w:hAnsiTheme="majorHAnsi" w:cstheme="majorHAnsi"/>
          <w:sz w:val="20"/>
          <w:szCs w:val="20"/>
        </w:rPr>
        <w:t>with</w:t>
      </w:r>
      <w:r w:rsidRPr="007F15B3">
        <w:rPr>
          <w:rFonts w:asciiTheme="majorHAnsi" w:eastAsia="DaxlinePro-Light" w:hAnsiTheme="majorHAnsi" w:cstheme="majorHAnsi"/>
          <w:sz w:val="20"/>
          <w:szCs w:val="20"/>
        </w:rPr>
        <w:t xml:space="preserve"> the Trade Register / similar entity for non-resident legal entities under no .___________________________, unique registration code / equivalent registration number for non-resident legal entities ______________</w:t>
      </w:r>
      <w:r>
        <w:rPr>
          <w:rFonts w:asciiTheme="majorHAnsi" w:eastAsia="DaxlinePro-Light" w:hAnsiTheme="majorHAnsi" w:cstheme="majorHAnsi"/>
          <w:sz w:val="20"/>
          <w:szCs w:val="20"/>
        </w:rPr>
        <w:t>_______________________________________</w:t>
      </w:r>
      <w:r w:rsidR="00250A27">
        <w:rPr>
          <w:rFonts w:asciiTheme="majorHAnsi" w:eastAsia="DaxlinePro-Light" w:hAnsiTheme="majorHAnsi" w:cstheme="majorHAnsi"/>
          <w:sz w:val="20"/>
          <w:szCs w:val="20"/>
        </w:rPr>
        <w:t>__________________________________</w:t>
      </w:r>
    </w:p>
    <w:p w14:paraId="6B4709AB" w14:textId="77777777"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 legally represented by __________________________________________________________</w:t>
      </w:r>
    </w:p>
    <w:p w14:paraId="742F4BBA" w14:textId="77777777" w:rsid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________________________________</w:t>
      </w:r>
    </w:p>
    <w:p w14:paraId="43F9A566" w14:textId="7EE957A5" w:rsidR="004406DF" w:rsidRPr="007409E1" w:rsidRDefault="00926953" w:rsidP="007F15B3">
      <w:pPr>
        <w:spacing w:line="240" w:lineRule="auto"/>
        <w:jc w:val="both"/>
        <w:rPr>
          <w:rFonts w:asciiTheme="majorHAnsi" w:eastAsia="DaxlinePro-Light" w:hAnsiTheme="majorHAnsi" w:cstheme="majorHAnsi"/>
          <w:i/>
          <w:color w:val="000000" w:themeColor="text1"/>
          <w:sz w:val="18"/>
          <w:szCs w:val="18"/>
        </w:rPr>
      </w:pPr>
      <w:r w:rsidRPr="007409E1">
        <w:rPr>
          <w:rFonts w:asciiTheme="majorHAnsi" w:eastAsia="DaxlinePro-Light" w:hAnsiTheme="majorHAnsi" w:cstheme="majorHAnsi"/>
          <w:i/>
          <w:color w:val="000000" w:themeColor="text1"/>
          <w:sz w:val="18"/>
          <w:szCs w:val="18"/>
        </w:rPr>
        <w:t>*</w:t>
      </w:r>
      <w:r w:rsidR="007F15B3" w:rsidRPr="007F15B3">
        <w:t xml:space="preserve"> </w:t>
      </w:r>
      <w:r w:rsidR="007F15B3" w:rsidRPr="007F15B3">
        <w:rPr>
          <w:rFonts w:asciiTheme="majorHAnsi" w:eastAsia="DaxlinePro-Light" w:hAnsiTheme="majorHAnsi" w:cstheme="majorHAnsi"/>
          <w:i/>
          <w:color w:val="000000" w:themeColor="text1"/>
          <w:sz w:val="18"/>
          <w:szCs w:val="18"/>
        </w:rPr>
        <w:t>To be filled in with the name and surname of the legal representative of the shareholder legal person, as they appear in the documents proving the quality of representative</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3FE2E6A3" w14:textId="54919031" w:rsidR="00864F69" w:rsidRPr="00864F69" w:rsidRDefault="007F15B3" w:rsidP="00864F69">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xml:space="preserve"> of the Company from </w:t>
      </w:r>
      <w:r w:rsidR="00864F69">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864F69">
        <w:rPr>
          <w:rFonts w:asciiTheme="majorHAnsi" w:eastAsia="DaxlinePro-Light" w:hAnsiTheme="majorHAnsi" w:cstheme="majorHAnsi"/>
          <w:bCs/>
          <w:sz w:val="20"/>
          <w:szCs w:val="20"/>
          <w:lang w:val="ro-RO"/>
        </w:rPr>
        <w:t>3</w:t>
      </w:r>
      <w:r w:rsidRPr="007F15B3">
        <w:rPr>
          <w:rFonts w:asciiTheme="majorHAnsi" w:eastAsia="DaxlinePro-Light" w:hAnsiTheme="majorHAnsi" w:cstheme="majorHAnsi"/>
          <w:bCs/>
          <w:sz w:val="20"/>
          <w:szCs w:val="20"/>
          <w:lang w:val="ro-RO"/>
        </w:rPr>
        <w:t>, 2021, at 1</w:t>
      </w:r>
      <w:r w:rsidR="00864F69">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w:t>
      </w:r>
      <w:r w:rsidR="00864F69">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864F69">
        <w:rPr>
          <w:rFonts w:asciiTheme="majorHAnsi" w:eastAsia="DaxlinePro-Light" w:hAnsiTheme="majorHAnsi" w:cstheme="majorHAnsi"/>
          <w:bCs/>
          <w:sz w:val="20"/>
          <w:szCs w:val="20"/>
          <w:lang w:val="ro-RO"/>
        </w:rPr>
        <w:t>4</w:t>
      </w:r>
      <w:r w:rsidRPr="007F15B3">
        <w:rPr>
          <w:rFonts w:asciiTheme="majorHAnsi" w:eastAsia="DaxlinePro-Light" w:hAnsiTheme="majorHAnsi" w:cstheme="majorHAnsi"/>
          <w:bCs/>
          <w:sz w:val="20"/>
          <w:szCs w:val="20"/>
          <w:lang w:val="ro-RO"/>
        </w:rPr>
        <w:t>, 2020, at 1</w:t>
      </w:r>
      <w:r w:rsidR="00864F69">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:00 (Romanian time)</w:t>
      </w:r>
      <w:r w:rsidR="00253B60">
        <w:rPr>
          <w:rFonts w:asciiTheme="majorHAnsi" w:eastAsia="DaxlinePro-Light" w:hAnsiTheme="majorHAnsi" w:cstheme="majorHAnsi"/>
          <w:bCs/>
          <w:sz w:val="20"/>
          <w:szCs w:val="20"/>
          <w:lang w:val="ro-RO"/>
        </w:rPr>
        <w:t xml:space="preserve">, </w:t>
      </w:r>
      <w:r w:rsidR="00253B60" w:rsidRPr="00417500">
        <w:rPr>
          <w:rFonts w:asciiTheme="majorHAnsi" w:hAnsiTheme="majorHAnsi"/>
        </w:rPr>
        <w:t xml:space="preserve">at the office of the Company situated in Bucharest, </w:t>
      </w:r>
      <w:r w:rsidR="00253B60"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as follows:</w:t>
      </w:r>
    </w:p>
    <w:p w14:paraId="7EB6BFEC" w14:textId="77777777" w:rsidR="00864F69" w:rsidRPr="00F10021" w:rsidRDefault="00864F69" w:rsidP="00864F69">
      <w:pPr>
        <w:jc w:val="both"/>
        <w:rPr>
          <w:rFonts w:asciiTheme="majorHAnsi" w:eastAsia="DaxlinePro-Light" w:hAnsiTheme="majorHAnsi" w:cs="DaxlinePro-Light"/>
          <w:sz w:val="20"/>
          <w:szCs w:val="20"/>
        </w:rPr>
      </w:pPr>
    </w:p>
    <w:p w14:paraId="43EDB03A" w14:textId="77777777" w:rsidR="00864F69" w:rsidRPr="00F10021" w:rsidRDefault="00864F69" w:rsidP="00864F69">
      <w:pPr>
        <w:pStyle w:val="ListParagraph"/>
        <w:numPr>
          <w:ilvl w:val="0"/>
          <w:numId w:val="6"/>
        </w:numPr>
        <w:ind w:left="426" w:hanging="426"/>
        <w:jc w:val="both"/>
        <w:rPr>
          <w:rFonts w:asciiTheme="majorHAnsi" w:hAnsiTheme="majorHAnsi"/>
        </w:rPr>
      </w:pPr>
      <w:bookmarkStart w:id="0" w:name="_Hlk67415675"/>
      <w:r w:rsidRPr="00F10021">
        <w:rPr>
          <w:rFonts w:asciiTheme="majorHAnsi" w:hAnsiTheme="majorHAnsi"/>
        </w:rPr>
        <w:t>Approval of the amended individual financial statements of the Company for the financial year 2020, based on the report of the financial auditor of the Company on 31.12.2020 and on the report of the Board of Directors regarding the activity of the Company during the year 2020;</w:t>
      </w:r>
    </w:p>
    <w:p w14:paraId="46ABFBB2" w14:textId="77777777" w:rsidR="00864F69" w:rsidRPr="00F10021" w:rsidRDefault="00864F69" w:rsidP="00864F69">
      <w:pPr>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406A7D3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E3A312"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DF3C75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C338B0E"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6010B4E7"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0536F3E"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BDF6E73"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59CEBD9"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7BF8F049"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18270FB7" w14:textId="77777777" w:rsidR="00864F69" w:rsidRPr="00F10021" w:rsidRDefault="00864F69" w:rsidP="00864F69">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Approval of the manner distribution of the net profit pertain to the financial year 2020, in the amount of </w:t>
      </w:r>
      <w:r w:rsidRPr="00F10021">
        <w:rPr>
          <w:rFonts w:asciiTheme="majorHAnsi" w:eastAsia="DaxlinePro-Light" w:hAnsiTheme="majorHAnsi" w:cstheme="majorHAnsi"/>
          <w:b/>
          <w:bCs/>
          <w:sz w:val="20"/>
          <w:szCs w:val="20"/>
          <w:lang w:val="ro-RO"/>
        </w:rPr>
        <w:t>5,049,715 lei</w:t>
      </w:r>
      <w:r w:rsidRPr="00F10021">
        <w:rPr>
          <w:rFonts w:asciiTheme="majorHAnsi" w:eastAsia="DaxlinePro-Light" w:hAnsiTheme="majorHAnsi" w:cstheme="majorHAnsi"/>
          <w:sz w:val="20"/>
          <w:szCs w:val="20"/>
        </w:rPr>
        <w:t>, as follows:</w:t>
      </w:r>
    </w:p>
    <w:p w14:paraId="2D92A83D" w14:textId="77777777" w:rsidR="00864F69" w:rsidRPr="00F10021" w:rsidRDefault="00864F69" w:rsidP="00864F69">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Legal reserves = </w:t>
      </w:r>
      <w:r w:rsidRPr="00F10021">
        <w:rPr>
          <w:rFonts w:asciiTheme="majorHAnsi" w:eastAsia="DaxlinePro-Light" w:hAnsiTheme="majorHAnsi" w:cstheme="majorHAnsi"/>
          <w:b/>
          <w:bCs/>
          <w:sz w:val="20"/>
          <w:szCs w:val="20"/>
          <w:lang w:val="ro-RO"/>
        </w:rPr>
        <w:t>302,461 lei</w:t>
      </w:r>
    </w:p>
    <w:p w14:paraId="6E4CEDF2" w14:textId="77777777" w:rsidR="00864F69" w:rsidRPr="00F10021" w:rsidRDefault="00864F69" w:rsidP="00864F69">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Other reserves = </w:t>
      </w:r>
      <w:r w:rsidRPr="00F10021">
        <w:rPr>
          <w:rFonts w:asciiTheme="majorHAnsi" w:eastAsia="DaxlinePro-Light" w:hAnsiTheme="majorHAnsi" w:cstheme="majorHAnsi"/>
          <w:b/>
          <w:bCs/>
          <w:sz w:val="20"/>
          <w:szCs w:val="20"/>
        </w:rPr>
        <w:t>0 (zero) lei</w:t>
      </w:r>
      <w:r w:rsidRPr="00F10021">
        <w:rPr>
          <w:rFonts w:asciiTheme="majorHAnsi" w:eastAsia="DaxlinePro-Light" w:hAnsiTheme="majorHAnsi" w:cstheme="majorHAnsi"/>
          <w:sz w:val="20"/>
          <w:szCs w:val="20"/>
        </w:rPr>
        <w:t>.</w:t>
      </w:r>
    </w:p>
    <w:p w14:paraId="18514930" w14:textId="77777777" w:rsidR="00864F69" w:rsidRPr="00F10021" w:rsidRDefault="00864F69" w:rsidP="00864F69">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Capitalization and use for granting shares to shareholders, through a share capital increase operation </w:t>
      </w:r>
      <w:r w:rsidRPr="00F10021">
        <w:rPr>
          <w:rFonts w:asciiTheme="majorHAnsi" w:eastAsia="DaxlinePro-Light" w:hAnsiTheme="majorHAnsi" w:cstheme="majorHAnsi"/>
          <w:b/>
          <w:bCs/>
          <w:sz w:val="20"/>
          <w:szCs w:val="20"/>
        </w:rPr>
        <w:t xml:space="preserve">= </w:t>
      </w:r>
      <w:r w:rsidRPr="00F10021">
        <w:rPr>
          <w:rFonts w:asciiTheme="majorHAnsi" w:eastAsia="DaxlinePro-Light" w:hAnsiTheme="majorHAnsi" w:cstheme="majorHAnsi"/>
          <w:b/>
          <w:bCs/>
          <w:sz w:val="20"/>
          <w:szCs w:val="20"/>
          <w:u w:val="single"/>
        </w:rPr>
        <w:t>3,429,576</w:t>
      </w:r>
      <w:r w:rsidRPr="00F10021">
        <w:rPr>
          <w:rFonts w:asciiTheme="majorHAnsi" w:eastAsia="DaxlinePro-Light" w:hAnsiTheme="majorHAnsi" w:cstheme="majorHAnsi"/>
          <w:b/>
          <w:bCs/>
          <w:sz w:val="20"/>
          <w:szCs w:val="20"/>
        </w:rPr>
        <w:t xml:space="preserve"> </w:t>
      </w:r>
      <w:r w:rsidRPr="00F10021">
        <w:rPr>
          <w:rFonts w:asciiTheme="majorHAnsi" w:eastAsia="DaxlinePro-Light" w:hAnsiTheme="majorHAnsi" w:cstheme="majorHAnsi"/>
          <w:sz w:val="20"/>
          <w:szCs w:val="20"/>
          <w:lang w:val="ro-RO"/>
        </w:rPr>
        <w:t>lei</w:t>
      </w:r>
    </w:p>
    <w:p w14:paraId="01717C0D" w14:textId="77777777" w:rsidR="00864F69" w:rsidRPr="00F10021" w:rsidRDefault="00864F69" w:rsidP="00864F69">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Profit left undistributed = </w:t>
      </w:r>
      <w:r w:rsidRPr="00F10021">
        <w:rPr>
          <w:rFonts w:asciiTheme="majorHAnsi" w:eastAsia="DaxlinePro-Light" w:hAnsiTheme="majorHAnsi" w:cstheme="majorHAnsi"/>
          <w:b/>
          <w:bCs/>
          <w:sz w:val="20"/>
          <w:szCs w:val="20"/>
          <w:lang w:val="ro-RO"/>
        </w:rPr>
        <w:t xml:space="preserve">1,317,678 </w:t>
      </w:r>
      <w:r w:rsidRPr="00F10021">
        <w:rPr>
          <w:rFonts w:asciiTheme="majorHAnsi" w:eastAsia="DaxlinePro-Light" w:hAnsiTheme="majorHAnsi" w:cstheme="majorHAnsi"/>
          <w:sz w:val="20"/>
          <w:szCs w:val="20"/>
          <w:lang w:val="ro-RO"/>
        </w:rPr>
        <w:t>lei</w:t>
      </w: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57920FF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9B0A861"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9389125"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A24F9D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0DD18E2A"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97C370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D58B4E7"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F20F12F"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3B479EED"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45A8B061" w14:textId="77777777" w:rsidR="00864F69" w:rsidRPr="00F10021" w:rsidRDefault="00864F69" w:rsidP="00864F69">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Approval of the discharge of duties of the members of the Board of Directors for the activity related to the financial year 2020, considering the amended individual financial statements;</w:t>
      </w:r>
    </w:p>
    <w:p w14:paraId="7383619C"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175B63C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449ED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D8ECA5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9F64255"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3356B78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0F021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lastRenderedPageBreak/>
              <w:t> </w:t>
            </w:r>
          </w:p>
        </w:tc>
        <w:tc>
          <w:tcPr>
            <w:tcW w:w="1439" w:type="dxa"/>
            <w:tcBorders>
              <w:top w:val="nil"/>
              <w:left w:val="nil"/>
              <w:bottom w:val="single" w:sz="4" w:space="0" w:color="000000"/>
              <w:right w:val="single" w:sz="4" w:space="0" w:color="000000"/>
            </w:tcBorders>
            <w:vAlign w:val="bottom"/>
          </w:tcPr>
          <w:p w14:paraId="62D0D6F1"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0D2D58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0CB3F7D"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304F590B" w14:textId="77777777" w:rsidR="00864F69" w:rsidRPr="00F10021" w:rsidRDefault="00864F69" w:rsidP="00864F69">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Approval of the income and expenditure budget of the Company for the financial year 2021 and of the Investment Program for 2021, as part of the income and expenditure budget of the Company.</w:t>
      </w:r>
    </w:p>
    <w:p w14:paraId="6F17C6C9"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49C9EC6E"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E31EFA9"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CC41882"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9ED25A4"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78FD430D"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280085B"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4CD8770"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BD1C19C"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7025192"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1F000DA8" w14:textId="77777777" w:rsidR="00864F69" w:rsidRPr="00F10021" w:rsidRDefault="00864F69" w:rsidP="00864F69">
      <w:pPr>
        <w:pStyle w:val="ListParagraph"/>
        <w:numPr>
          <w:ilvl w:val="0"/>
          <w:numId w:val="6"/>
        </w:numPr>
        <w:ind w:left="426"/>
        <w:jc w:val="both"/>
        <w:rPr>
          <w:rFonts w:asciiTheme="majorHAnsi" w:hAnsiTheme="majorHAnsi"/>
        </w:rPr>
      </w:pPr>
      <w:r w:rsidRPr="00F10021">
        <w:rPr>
          <w:rFonts w:asciiTheme="majorHAnsi" w:hAnsiTheme="majorHAnsi"/>
        </w:rPr>
        <w:t>Election, starting with 29.06.2021, for a mandate of 4 years of the three members of the Board of Directors. The deadline until which proposals can be made is 18.06.2021. The list including information with regard to the name, the locality of residence and the professional qualification of the persons proposed for the position of administrator shall be available to the shareholders, who can consult and add to it;</w:t>
      </w:r>
    </w:p>
    <w:p w14:paraId="6018A1AC" w14:textId="77777777" w:rsidR="00864F69" w:rsidRPr="00F10021" w:rsidRDefault="00864F69" w:rsidP="00864F69">
      <w:pPr>
        <w:widowControl w:val="0"/>
        <w:tabs>
          <w:tab w:val="left" w:pos="426"/>
        </w:tabs>
        <w:ind w:left="426"/>
        <w:jc w:val="both"/>
        <w:rPr>
          <w:rFonts w:asciiTheme="majorHAnsi" w:eastAsia="DaxlinePro-Light" w:hAnsiTheme="majorHAnsi" w:cstheme="majorHAnsi"/>
          <w:sz w:val="20"/>
          <w:szCs w:val="20"/>
        </w:rPr>
      </w:pPr>
    </w:p>
    <w:p w14:paraId="2BFF33CE"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10C6E71B"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732406"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439F13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E8A320"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7845F372"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9CC09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D961DA7"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2FC689C"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E996742"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4E1B18C8" w14:textId="77777777" w:rsidR="00864F69" w:rsidRPr="00F10021" w:rsidRDefault="00864F69" w:rsidP="00864F69">
      <w:pPr>
        <w:pStyle w:val="ListParagraph"/>
        <w:numPr>
          <w:ilvl w:val="0"/>
          <w:numId w:val="6"/>
        </w:numPr>
        <w:ind w:left="426"/>
        <w:jc w:val="both"/>
        <w:rPr>
          <w:rFonts w:asciiTheme="majorHAnsi" w:hAnsiTheme="majorHAnsi"/>
        </w:rPr>
      </w:pPr>
      <w:r w:rsidRPr="00F10021">
        <w:rPr>
          <w:rFonts w:asciiTheme="majorHAnsi" w:hAnsiTheme="majorHAnsi"/>
        </w:rPr>
        <w:t>Setting forth the general limits of the gross remuneration granted to the new members of the Board of Directors and granting of other rights, during their mandate’s duration, and at the same time enactment of the Remuneration Policy of the members of the Board of Directors, in accordance with the provisions of art. 921 of Law no. 24/2017;</w:t>
      </w:r>
    </w:p>
    <w:p w14:paraId="00928747" w14:textId="77777777" w:rsidR="00864F69" w:rsidRPr="00F10021" w:rsidRDefault="00864F69" w:rsidP="00864F69">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69C588B3"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5C615F"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310444B"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218BAD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4B3CF6D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A1A21C1"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78DC414"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4A7FA5F"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7CD55D67"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206D4270" w14:textId="77777777" w:rsidR="00864F69" w:rsidRPr="00F10021" w:rsidRDefault="00864F69" w:rsidP="00864F69">
      <w:pPr>
        <w:pStyle w:val="ListParagraph"/>
        <w:numPr>
          <w:ilvl w:val="0"/>
          <w:numId w:val="6"/>
        </w:numPr>
        <w:ind w:left="426"/>
        <w:jc w:val="both"/>
        <w:rPr>
          <w:rFonts w:asciiTheme="majorHAnsi" w:hAnsiTheme="majorHAnsi"/>
        </w:rPr>
      </w:pPr>
      <w:r w:rsidRPr="00F10021">
        <w:rPr>
          <w:rFonts w:asciiTheme="majorHAnsi" w:hAnsiTheme="majorHAnsi"/>
        </w:rPr>
        <w:t>Empowerment of the President of the Board of Directors to negotiate and sign on behalf of the Company the administration agreements with the other two members and the empowerment of the latter to negotiate and sign on behalf of the Company the administration agreement with the President of the Board of Directors;</w:t>
      </w:r>
    </w:p>
    <w:p w14:paraId="1A9A8CA5" w14:textId="77777777" w:rsidR="00864F69" w:rsidRPr="00F10021" w:rsidRDefault="00864F69" w:rsidP="00864F69">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0CB60FB0"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125422"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8326D0C"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18E5740"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3459D03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8499D2"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D0DE0AF"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87179C7"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749495E1"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0346CDC8" w14:textId="77777777" w:rsidR="00864F69" w:rsidRPr="00F10021" w:rsidRDefault="00864F69" w:rsidP="00864F69">
      <w:pPr>
        <w:pStyle w:val="ListParagraph"/>
        <w:numPr>
          <w:ilvl w:val="0"/>
          <w:numId w:val="6"/>
        </w:numPr>
        <w:ind w:left="426"/>
        <w:jc w:val="both"/>
        <w:rPr>
          <w:rFonts w:asciiTheme="majorHAnsi" w:hAnsiTheme="majorHAnsi"/>
        </w:rPr>
      </w:pPr>
      <w:r w:rsidRPr="00F10021">
        <w:rPr>
          <w:rFonts w:asciiTheme="majorHAnsi" w:hAnsiTheme="majorHAnsi"/>
        </w:rPr>
        <w:t>Approval of the registration date (proposal: 14.07.2021) and ex-date (proposal: 13.07.2021);</w:t>
      </w:r>
    </w:p>
    <w:p w14:paraId="4E511AA4" w14:textId="77777777" w:rsidR="00864F69" w:rsidRPr="00F10021" w:rsidRDefault="00864F69" w:rsidP="00864F69">
      <w:pPr>
        <w:widowControl w:val="0"/>
        <w:tabs>
          <w:tab w:val="left" w:pos="426"/>
        </w:tabs>
        <w:jc w:val="both"/>
        <w:rPr>
          <w:rFonts w:asciiTheme="majorHAnsi" w:eastAsia="DaxlinePro-Light" w:hAnsiTheme="majorHAnsi" w:cstheme="majorHAnsi"/>
          <w:sz w:val="20"/>
          <w:szCs w:val="20"/>
          <w:lang w:val="en"/>
        </w:rPr>
      </w:pPr>
    </w:p>
    <w:p w14:paraId="1877ED22"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lang w:val="en"/>
        </w:rPr>
      </w:pPr>
      <w:r w:rsidRPr="00F10021">
        <w:rPr>
          <w:rFonts w:asciiTheme="majorHAnsi" w:eastAsia="DaxlinePro-Light" w:hAnsiTheme="majorHAnsi" w:cstheme="majorHAnsi"/>
          <w:sz w:val="20"/>
          <w:szCs w:val="20"/>
          <w:lang w:val="en"/>
        </w:rPr>
        <w:tab/>
      </w: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3173E4D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D0FCE1"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B82212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A3F823B"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0558331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61E7939"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A1D623E"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44E9287"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3ADB2EF"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59B634AB" w14:textId="77777777" w:rsidR="00864F69" w:rsidRPr="00F10021" w:rsidRDefault="00864F69" w:rsidP="00864F69">
      <w:pPr>
        <w:pStyle w:val="ListParagraph"/>
        <w:numPr>
          <w:ilvl w:val="0"/>
          <w:numId w:val="6"/>
        </w:numPr>
        <w:ind w:left="426"/>
        <w:jc w:val="both"/>
        <w:rPr>
          <w:rFonts w:asciiTheme="majorHAnsi" w:hAnsiTheme="majorHAnsi"/>
        </w:rPr>
      </w:pPr>
      <w:r w:rsidRPr="00F10021">
        <w:rPr>
          <w:rFonts w:asciiTheme="majorHAnsi" w:hAnsiTheme="majorHAnsi"/>
        </w:rPr>
        <w:t>Empowerment of the President of the Board of Directors, with the right of substitution/delegation, in order to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w:t>
      </w:r>
    </w:p>
    <w:p w14:paraId="3E0F66A7" w14:textId="77777777" w:rsidR="00864F69" w:rsidRPr="00F10021" w:rsidRDefault="00864F69" w:rsidP="00864F69">
      <w:pPr>
        <w:pStyle w:val="ListParagraph"/>
        <w:widowControl w:val="0"/>
        <w:tabs>
          <w:tab w:val="left" w:pos="426"/>
        </w:tabs>
        <w:jc w:val="both"/>
        <w:rPr>
          <w:rFonts w:asciiTheme="majorHAnsi" w:eastAsia="DaxlinePro-Light" w:hAnsiTheme="majorHAnsi" w:cstheme="maj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44527535"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FE1E909"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8B5EC57"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6389901"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3400CF97"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A6754C9"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lastRenderedPageBreak/>
              <w:t> </w:t>
            </w:r>
          </w:p>
        </w:tc>
        <w:tc>
          <w:tcPr>
            <w:tcW w:w="1439" w:type="dxa"/>
            <w:tcBorders>
              <w:top w:val="nil"/>
              <w:left w:val="nil"/>
              <w:bottom w:val="single" w:sz="4" w:space="0" w:color="000000"/>
              <w:right w:val="single" w:sz="4" w:space="0" w:color="000000"/>
            </w:tcBorders>
            <w:vAlign w:val="bottom"/>
          </w:tcPr>
          <w:p w14:paraId="592C7763"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9ECFF0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bookmarkEnd w:id="0"/>
    </w:tbl>
    <w:p w14:paraId="1E28AD19" w14:textId="77777777" w:rsidR="00864F69" w:rsidRPr="00F10021" w:rsidRDefault="00864F69" w:rsidP="00864F69">
      <w:pPr>
        <w:widowControl w:val="0"/>
        <w:jc w:val="both"/>
        <w:rPr>
          <w:rFonts w:asciiTheme="majorHAnsi" w:eastAsia="DaxlinePro-Light" w:hAnsiTheme="majorHAnsi" w:cstheme="majorHAnsi"/>
          <w:i/>
          <w:sz w:val="18"/>
          <w:szCs w:val="18"/>
        </w:rPr>
      </w:pPr>
    </w:p>
    <w:p w14:paraId="19855860" w14:textId="77777777" w:rsidR="00864F69" w:rsidRPr="00F10021" w:rsidRDefault="00864F69" w:rsidP="00864F69">
      <w:pPr>
        <w:widowControl w:val="0"/>
        <w:jc w:val="both"/>
        <w:rPr>
          <w:rFonts w:asciiTheme="majorHAnsi" w:eastAsia="DaxlinePro-Light" w:hAnsiTheme="majorHAnsi" w:cstheme="majorHAnsi"/>
          <w:i/>
          <w:sz w:val="18"/>
          <w:szCs w:val="18"/>
        </w:rPr>
      </w:pPr>
    </w:p>
    <w:p w14:paraId="519B4A93" w14:textId="77777777" w:rsidR="00062A8E" w:rsidRPr="00062A8E" w:rsidRDefault="00062A8E" w:rsidP="00062A8E">
      <w:pPr>
        <w:widowControl w:val="0"/>
        <w:tabs>
          <w:tab w:val="left" w:pos="360"/>
        </w:tabs>
        <w:jc w:val="both"/>
        <w:rPr>
          <w:rFonts w:asciiTheme="majorHAnsi" w:eastAsia="DaxlinePro-Light" w:hAnsiTheme="majorHAnsi" w:cstheme="majorHAnsi"/>
          <w:i/>
          <w:sz w:val="20"/>
          <w:szCs w:val="20"/>
          <w:lang w:val="en-US"/>
        </w:rPr>
      </w:pPr>
    </w:p>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6E2510A3" w14:textId="751BA056" w:rsidR="004406DF" w:rsidRPr="007F15B3" w:rsidRDefault="007F15B3" w:rsidP="007F15B3">
      <w:pPr>
        <w:spacing w:line="240" w:lineRule="auto"/>
        <w:jc w:val="both"/>
        <w:rPr>
          <w:rFonts w:asciiTheme="majorHAnsi" w:eastAsia="DaxlinePro-Light" w:hAnsiTheme="majorHAnsi" w:cstheme="majorHAnsi"/>
          <w:iCs/>
          <w:sz w:val="20"/>
          <w:szCs w:val="20"/>
        </w:rPr>
      </w:pPr>
      <w:r w:rsidRPr="007F15B3">
        <w:rPr>
          <w:rFonts w:asciiTheme="majorHAnsi" w:eastAsia="DaxlinePro-Light" w:hAnsiTheme="majorHAnsi" w:cstheme="majorHAnsi"/>
          <w:iCs/>
          <w:sz w:val="20"/>
          <w:szCs w:val="20"/>
        </w:rPr>
        <w:t xml:space="preserve">We attach to this ballot the certificate, in original / copy conforming to the original, issued by the Trade Register or any other document, in original or in copy conforming to the original, issued by a competent authority of the state in which the undersigned is legally registered, with an age of no more than 30 days before the reference date and which allows the identification of the subscriber in the register of shareholders of </w:t>
      </w:r>
      <w:r w:rsidR="00051497">
        <w:rPr>
          <w:rFonts w:asciiTheme="majorHAnsi" w:eastAsia="DaxlinePro-Light" w:hAnsiTheme="majorHAnsi" w:cstheme="majorHAnsi"/>
          <w:iCs/>
          <w:sz w:val="20"/>
          <w:szCs w:val="20"/>
        </w:rPr>
        <w:t>NOROFERT</w:t>
      </w:r>
      <w:r w:rsidRPr="007F15B3">
        <w:rPr>
          <w:rFonts w:asciiTheme="majorHAnsi" w:eastAsia="DaxlinePro-Light" w:hAnsiTheme="majorHAnsi" w:cstheme="majorHAnsi"/>
          <w:iCs/>
          <w:sz w:val="20"/>
          <w:szCs w:val="20"/>
        </w:rPr>
        <w:t xml:space="preserve"> SA, at the reference date (</w:t>
      </w:r>
      <w:r w:rsidR="00051497">
        <w:rPr>
          <w:rFonts w:asciiTheme="majorHAnsi" w:eastAsia="DaxlinePro-Light" w:hAnsiTheme="majorHAnsi" w:cstheme="majorHAnsi"/>
          <w:b/>
          <w:bCs/>
          <w:iCs/>
          <w:sz w:val="20"/>
          <w:szCs w:val="20"/>
        </w:rPr>
        <w:t>1</w:t>
      </w:r>
      <w:r w:rsidRPr="007F15B3">
        <w:rPr>
          <w:rFonts w:asciiTheme="majorHAnsi" w:eastAsia="DaxlinePro-Light" w:hAnsiTheme="majorHAnsi" w:cstheme="majorHAnsi"/>
          <w:b/>
          <w:bCs/>
          <w:iCs/>
          <w:sz w:val="20"/>
          <w:szCs w:val="20"/>
        </w:rPr>
        <w:t>5.0</w:t>
      </w:r>
      <w:r w:rsidR="00864F69">
        <w:rPr>
          <w:rFonts w:asciiTheme="majorHAnsi" w:eastAsia="DaxlinePro-Light" w:hAnsiTheme="majorHAnsi" w:cstheme="majorHAnsi"/>
          <w:b/>
          <w:bCs/>
          <w:iCs/>
          <w:sz w:val="20"/>
          <w:szCs w:val="20"/>
        </w:rPr>
        <w:t>6</w:t>
      </w:r>
      <w:r w:rsidRPr="007F15B3">
        <w:rPr>
          <w:rFonts w:asciiTheme="majorHAnsi" w:eastAsia="DaxlinePro-Light" w:hAnsiTheme="majorHAnsi" w:cstheme="majorHAnsi"/>
          <w:b/>
          <w:bCs/>
          <w:iCs/>
          <w:sz w:val="20"/>
          <w:szCs w:val="20"/>
        </w:rPr>
        <w:t>.2021</w:t>
      </w:r>
      <w:r w:rsidRPr="007F15B3">
        <w:rPr>
          <w:rFonts w:asciiTheme="majorHAnsi" w:eastAsia="DaxlinePro-Light" w:hAnsiTheme="majorHAnsi" w:cstheme="majorHAnsi"/>
          <w:iCs/>
          <w:sz w:val="20"/>
          <w:szCs w:val="20"/>
        </w:rPr>
        <w:t>) issued by the Central Depository. If the Central Depository S.A. has not been informed in time about the name of the subscriber's legal representative (so that the shareholders' register at the reference date reflects this), the finding certificate / similar documents mentioned above will have to prove the subscriber's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9414" w14:textId="77777777" w:rsidR="002F3161" w:rsidRDefault="002F3161">
      <w:pPr>
        <w:spacing w:line="240" w:lineRule="auto"/>
      </w:pPr>
      <w:r>
        <w:separator/>
      </w:r>
    </w:p>
  </w:endnote>
  <w:endnote w:type="continuationSeparator" w:id="0">
    <w:p w14:paraId="0F18F31B" w14:textId="77777777" w:rsidR="002F3161" w:rsidRDefault="002F3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04F7" w14:textId="77777777" w:rsidR="002F3161" w:rsidRDefault="002F3161">
      <w:pPr>
        <w:spacing w:line="240" w:lineRule="auto"/>
      </w:pPr>
      <w:r>
        <w:separator/>
      </w:r>
    </w:p>
  </w:footnote>
  <w:footnote w:type="continuationSeparator" w:id="0">
    <w:p w14:paraId="6F567DF8" w14:textId="77777777" w:rsidR="002F3161" w:rsidRDefault="002F31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1" w:name="_Hlk24558227"/>
  </w:p>
  <w:bookmarkEnd w:id="1"/>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062A8E"/>
    <w:rsid w:val="001A2BE5"/>
    <w:rsid w:val="001C1BB8"/>
    <w:rsid w:val="00250A27"/>
    <w:rsid w:val="00253B60"/>
    <w:rsid w:val="002B1CFF"/>
    <w:rsid w:val="002F3161"/>
    <w:rsid w:val="003551E8"/>
    <w:rsid w:val="003D2002"/>
    <w:rsid w:val="003D5047"/>
    <w:rsid w:val="003F0EC4"/>
    <w:rsid w:val="004215C6"/>
    <w:rsid w:val="004406DF"/>
    <w:rsid w:val="005460E9"/>
    <w:rsid w:val="005D25F7"/>
    <w:rsid w:val="007409E1"/>
    <w:rsid w:val="007F15B3"/>
    <w:rsid w:val="008450AB"/>
    <w:rsid w:val="00864F69"/>
    <w:rsid w:val="008F2152"/>
    <w:rsid w:val="00910361"/>
    <w:rsid w:val="00926953"/>
    <w:rsid w:val="00B85944"/>
    <w:rsid w:val="00C02DD6"/>
    <w:rsid w:val="00CB0083"/>
    <w:rsid w:val="00D608C5"/>
    <w:rsid w:val="00DA47C5"/>
    <w:rsid w:val="00E6061C"/>
    <w:rsid w:val="00EA6E28"/>
    <w:rsid w:val="00EB5F83"/>
    <w:rsid w:val="00EC2003"/>
    <w:rsid w:val="00ED5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2021-05-27T04:36:00Z</dcterms:created>
  <dcterms:modified xsi:type="dcterms:W3CDTF">2021-05-27T05:15:00Z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