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CD3AC9" w14:textId="77777777" w:rsidR="00E06BEE" w:rsidRPr="00E764D5" w:rsidRDefault="00ED2C4B">
      <w:pPr>
        <w:spacing w:line="240" w:lineRule="auto"/>
        <w:jc w:val="center"/>
        <w:rPr>
          <w:rFonts w:asciiTheme="majorHAnsi" w:eastAsia="DaxlinePro-Light" w:hAnsiTheme="majorHAnsi" w:cstheme="majorHAnsi"/>
          <w:sz w:val="20"/>
          <w:szCs w:val="20"/>
        </w:rPr>
      </w:pPr>
      <w:bookmarkStart w:id="0" w:name="_heading=h.gjdgxs" w:colFirst="0" w:colLast="0"/>
      <w:bookmarkEnd w:id="0"/>
      <w:proofErr w:type="spellStart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Procură</w:t>
      </w:r>
      <w:proofErr w:type="spellEnd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specială</w:t>
      </w:r>
      <w:proofErr w:type="spellEnd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</w:p>
    <w:p w14:paraId="0754E7DF" w14:textId="77777777" w:rsidR="00E06BEE" w:rsidRPr="00E764D5" w:rsidRDefault="00ED2C4B">
      <w:pPr>
        <w:spacing w:line="240" w:lineRule="auto"/>
        <w:jc w:val="center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 xml:space="preserve">pentru </w:t>
      </w:r>
      <w:proofErr w:type="spellStart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acţionari</w:t>
      </w:r>
      <w:proofErr w:type="spellEnd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persoane</w:t>
      </w:r>
      <w:proofErr w:type="spellEnd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fizice</w:t>
      </w:r>
      <w:proofErr w:type="spellEnd"/>
    </w:p>
    <w:p w14:paraId="5F5007FD" w14:textId="1AF0030A" w:rsidR="00E06BEE" w:rsidRPr="00E764D5" w:rsidRDefault="00ED2C4B">
      <w:pPr>
        <w:spacing w:line="240" w:lineRule="auto"/>
        <w:jc w:val="center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pentru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Adunarea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Generală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Extraordinară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Acţionarilor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(AG</w:t>
      </w:r>
      <w:r w:rsidR="000D489E">
        <w:rPr>
          <w:rFonts w:asciiTheme="majorHAnsi" w:eastAsia="DaxlinePro-Light" w:hAnsiTheme="majorHAnsi" w:cstheme="majorHAnsi"/>
          <w:sz w:val="20"/>
          <w:szCs w:val="20"/>
        </w:rPr>
        <w:t>O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A) </w:t>
      </w:r>
      <w:r w:rsidR="00E764D5" w:rsidRPr="00E764D5">
        <w:rPr>
          <w:rFonts w:asciiTheme="majorHAnsi" w:eastAsia="DaxlinePro-Light" w:hAnsiTheme="majorHAnsi" w:cstheme="majorHAnsi"/>
          <w:sz w:val="20"/>
          <w:szCs w:val="20"/>
        </w:rPr>
        <w:t>NOROFERT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S.A.</w:t>
      </w:r>
    </w:p>
    <w:p w14:paraId="1C4F54AC" w14:textId="08F0C976" w:rsidR="00E06BEE" w:rsidRPr="00E764D5" w:rsidRDefault="00ED2C4B">
      <w:pPr>
        <w:spacing w:line="240" w:lineRule="auto"/>
        <w:jc w:val="center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din data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="00425910">
        <w:rPr>
          <w:rFonts w:asciiTheme="majorHAnsi" w:eastAsia="DaxlinePro-Light" w:hAnsiTheme="majorHAnsi" w:cstheme="majorHAnsi"/>
          <w:sz w:val="20"/>
          <w:szCs w:val="20"/>
        </w:rPr>
        <w:t>26/27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2021</w:t>
      </w:r>
    </w:p>
    <w:p w14:paraId="2A700335" w14:textId="77777777" w:rsidR="00E06BEE" w:rsidRPr="00E764D5" w:rsidRDefault="00E06BEE">
      <w:pPr>
        <w:spacing w:line="240" w:lineRule="auto"/>
        <w:jc w:val="center"/>
        <w:rPr>
          <w:rFonts w:asciiTheme="majorHAnsi" w:eastAsia="DaxlinePro-Light" w:hAnsiTheme="majorHAnsi" w:cstheme="majorHAnsi"/>
          <w:sz w:val="20"/>
          <w:szCs w:val="20"/>
        </w:rPr>
      </w:pPr>
    </w:p>
    <w:p w14:paraId="1D4BF282" w14:textId="77777777" w:rsidR="00ED2C4B" w:rsidRPr="00E764D5" w:rsidRDefault="00ED2C4B" w:rsidP="00ED2C4B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Subsemnatul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>, ______________________________________________________________________,</w:t>
      </w:r>
    </w:p>
    <w:p w14:paraId="05A314F6" w14:textId="77777777" w:rsidR="00ED2C4B" w:rsidRPr="00E764D5" w:rsidRDefault="00ED2C4B" w:rsidP="00ED2C4B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*A se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</w:p>
    <w:p w14:paraId="5C67C987" w14:textId="77777777" w:rsidR="00ED2C4B" w:rsidRPr="00E764D5" w:rsidRDefault="00ED2C4B" w:rsidP="00ED2C4B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identificat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cu B.I./C.I./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seria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______________________, nr. ______________________,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de ________________________, la data de [____________________________________], CNP _________________________________________,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având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domiciliul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_________________________________________________________________________________</w:t>
      </w:r>
    </w:p>
    <w:p w14:paraId="2C6E51FE" w14:textId="77777777" w:rsidR="00E764D5" w:rsidRPr="00E764D5" w:rsidRDefault="00E764D5" w:rsidP="00E764D5">
      <w:pPr>
        <w:widowControl w:val="0"/>
        <w:jc w:val="both"/>
        <w:rPr>
          <w:rFonts w:asciiTheme="majorHAnsi" w:eastAsia="DaxlinePro-Light" w:hAnsiTheme="majorHAnsi" w:cstheme="majorHAnsi"/>
          <w:bCs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in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calitate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actionar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al </w:t>
      </w:r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NOROFERT S.A.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., </w:t>
      </w:r>
      <w:bookmarkStart w:id="1" w:name="_Hlk66963547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o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societate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pe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actiuni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sediul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in Bucuresti, Sector 5, str.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Petrache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Poenaru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nr. 26, Camera 8,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inregistrata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Oficiul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Registrului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Comertului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pe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langa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Tribunalul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Bucuresti sub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numarul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: J40/4222/2000,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avand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codul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unic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inregistrare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12972762</w:t>
      </w:r>
      <w:bookmarkEnd w:id="1"/>
      <w:r w:rsidRPr="00E764D5">
        <w:rPr>
          <w:rFonts w:asciiTheme="majorHAnsi" w:eastAsia="DaxlinePro-Light" w:hAnsiTheme="majorHAnsi" w:cstheme="majorHAnsi"/>
          <w:sz w:val="20"/>
          <w:szCs w:val="20"/>
        </w:rPr>
        <w:t>, Romania (</w:t>
      </w:r>
      <w:proofErr w:type="spellStart"/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Societatea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), </w:t>
      </w:r>
    </w:p>
    <w:p w14:paraId="051DACFB" w14:textId="77777777" w:rsidR="00ED2C4B" w:rsidRPr="00E764D5" w:rsidRDefault="00ED2C4B" w:rsidP="00ED2C4B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E81D533" w14:textId="77777777" w:rsidR="00ED2C4B" w:rsidRPr="00E764D5" w:rsidRDefault="00ED2C4B" w:rsidP="00ED2C4B">
      <w:pPr>
        <w:spacing w:line="36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împuternicesc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prezenta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pe: _________________________________________________________,</w:t>
      </w:r>
    </w:p>
    <w:p w14:paraId="35DCF253" w14:textId="77777777" w:rsidR="00ED2C4B" w:rsidRPr="00E764D5" w:rsidRDefault="00ED2C4B" w:rsidP="00ED2C4B">
      <w:pPr>
        <w:spacing w:line="36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E764D5">
        <w:rPr>
          <w:rFonts w:asciiTheme="majorHAnsi" w:eastAsia="Calibri" w:hAnsiTheme="majorHAnsi" w:cstheme="majorHAnsi"/>
          <w:i/>
          <w:sz w:val="20"/>
          <w:szCs w:val="20"/>
        </w:rPr>
        <w:t>*</w:t>
      </w:r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A se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împuternicitului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fizică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căruia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i se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acordă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această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procură</w:t>
      </w:r>
      <w:proofErr w:type="spellEnd"/>
    </w:p>
    <w:p w14:paraId="78492A19" w14:textId="77777777" w:rsidR="00ED2C4B" w:rsidRPr="00E764D5" w:rsidRDefault="00ED2C4B" w:rsidP="00ED2C4B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identificat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cu B.I./C.I./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paşaport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seria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______________________, nr. _______________________,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eliberat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de ________________________, la data de ___________________________________, CNP __________________________________________],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având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domiciliul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_________________________________________________________________________________</w:t>
      </w:r>
    </w:p>
    <w:p w14:paraId="29E0FA05" w14:textId="77777777" w:rsidR="00ED2C4B" w:rsidRPr="00E764D5" w:rsidRDefault="00ED2C4B" w:rsidP="00ED2C4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</w:p>
    <w:p w14:paraId="36E44BE3" w14:textId="77777777" w:rsidR="00ED2C4B" w:rsidRPr="00E764D5" w:rsidRDefault="00ED2C4B" w:rsidP="00ED2C4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E764D5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>SAU</w:t>
      </w:r>
    </w:p>
    <w:p w14:paraId="6F401489" w14:textId="77777777" w:rsidR="00ED2C4B" w:rsidRPr="00E764D5" w:rsidRDefault="00ED2C4B" w:rsidP="00ED2C4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60BA25" w14:textId="77777777" w:rsidR="00ED2C4B" w:rsidRPr="00E764D5" w:rsidRDefault="00ED2C4B" w:rsidP="00ED2C4B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764D5">
        <w:rPr>
          <w:rFonts w:asciiTheme="majorHAnsi" w:eastAsia="Calibri" w:hAnsiTheme="majorHAnsi" w:cstheme="majorHAnsi"/>
          <w:sz w:val="20"/>
          <w:szCs w:val="20"/>
        </w:rPr>
        <w:t>_________________________________________________________________________________</w:t>
      </w:r>
    </w:p>
    <w:p w14:paraId="01D1BFFD" w14:textId="77777777" w:rsidR="00ED2C4B" w:rsidRPr="00E764D5" w:rsidRDefault="00ED2C4B" w:rsidP="00ED2C4B">
      <w:pPr>
        <w:spacing w:line="36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*A se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denumirea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juridică</w:t>
      </w:r>
      <w:proofErr w:type="spellEnd"/>
    </w:p>
    <w:p w14:paraId="66BEF645" w14:textId="77777777" w:rsidR="00ED2C4B" w:rsidRPr="00E764D5" w:rsidRDefault="00ED2C4B" w:rsidP="00ED2C4B">
      <w:pPr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cu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sediul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social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situat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______________________________________________________________,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înmatriculată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la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Registrul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Comerțului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>/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entitate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similară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pentru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persoane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juridice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nerezidente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sub nr. _______________________________________, cod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unic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înregistrare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>/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număr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înregistrare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echivalent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pentru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persoanele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juridice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nerezidente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>__________________________________________,</w:t>
      </w:r>
    </w:p>
    <w:p w14:paraId="46FA9919" w14:textId="77777777" w:rsidR="00ED2C4B" w:rsidRPr="00E764D5" w:rsidRDefault="00ED2C4B" w:rsidP="00ED2C4B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reprezentată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legal </w:t>
      </w:r>
      <w:proofErr w:type="spellStart"/>
      <w:r w:rsidRPr="00E764D5">
        <w:rPr>
          <w:rFonts w:asciiTheme="majorHAnsi" w:eastAsia="Calibri" w:hAnsiTheme="majorHAnsi" w:cstheme="majorHAnsi"/>
          <w:sz w:val="20"/>
          <w:szCs w:val="20"/>
        </w:rPr>
        <w:t>prin</w:t>
      </w:r>
      <w:proofErr w:type="spellEnd"/>
      <w:r w:rsidRPr="00E764D5">
        <w:rPr>
          <w:rFonts w:asciiTheme="majorHAnsi" w:eastAsia="Calibri" w:hAnsiTheme="majorHAnsi" w:cstheme="majorHAnsi"/>
          <w:sz w:val="20"/>
          <w:szCs w:val="20"/>
        </w:rPr>
        <w:t xml:space="preserve"> ______________________________________________________________</w:t>
      </w:r>
    </w:p>
    <w:p w14:paraId="16D0315F" w14:textId="77777777" w:rsidR="00ED2C4B" w:rsidRPr="00E764D5" w:rsidRDefault="00ED2C4B" w:rsidP="00ED2C4B">
      <w:pPr>
        <w:spacing w:line="36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E764D5">
        <w:rPr>
          <w:rFonts w:asciiTheme="majorHAnsi" w:eastAsia="Calibri" w:hAnsiTheme="majorHAnsi" w:cstheme="majorHAnsi"/>
          <w:sz w:val="18"/>
          <w:szCs w:val="18"/>
        </w:rPr>
        <w:t>*A se</w:t>
      </w:r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completa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cu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numele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şi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prenumele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reprezentantului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legal al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acţionarului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persoană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juridică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,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astfel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cum apar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acestea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în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documentele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doveditoare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ale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calităţii</w:t>
      </w:r>
      <w:proofErr w:type="spellEnd"/>
      <w:r w:rsidRPr="00E764D5">
        <w:rPr>
          <w:rFonts w:asciiTheme="majorHAnsi" w:eastAsia="Calibri" w:hAnsiTheme="majorHAnsi" w:cstheme="majorHAnsi"/>
          <w:i/>
          <w:sz w:val="18"/>
          <w:szCs w:val="18"/>
        </w:rPr>
        <w:t xml:space="preserve"> de </w:t>
      </w:r>
      <w:proofErr w:type="spellStart"/>
      <w:r w:rsidRPr="00E764D5">
        <w:rPr>
          <w:rFonts w:asciiTheme="majorHAnsi" w:eastAsia="Calibri" w:hAnsiTheme="majorHAnsi" w:cstheme="majorHAnsi"/>
          <w:i/>
          <w:sz w:val="18"/>
          <w:szCs w:val="18"/>
        </w:rPr>
        <w:t>reprezentant</w:t>
      </w:r>
      <w:proofErr w:type="spellEnd"/>
    </w:p>
    <w:p w14:paraId="546E59BC" w14:textId="77777777" w:rsidR="00E06BEE" w:rsidRPr="00E764D5" w:rsidRDefault="00E06BEE">
      <w:pPr>
        <w:jc w:val="both"/>
        <w:rPr>
          <w:rFonts w:asciiTheme="majorHAnsi" w:eastAsia="DaxlinePro-Light" w:hAnsiTheme="majorHAnsi" w:cstheme="majorHAnsi"/>
          <w:i/>
          <w:color w:val="808080"/>
          <w:sz w:val="18"/>
          <w:szCs w:val="18"/>
        </w:rPr>
      </w:pPr>
    </w:p>
    <w:p w14:paraId="28756F85" w14:textId="2B64E19E" w:rsidR="00E06BEE" w:rsidRPr="00E764D5" w:rsidRDefault="00ED2C4B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drept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reprezentant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al meu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AG</w:t>
      </w:r>
      <w:r w:rsidR="000D489E">
        <w:rPr>
          <w:rFonts w:asciiTheme="majorHAnsi" w:eastAsia="DaxlinePro-Light" w:hAnsiTheme="majorHAnsi" w:cstheme="majorHAnsi"/>
          <w:sz w:val="20"/>
          <w:szCs w:val="20"/>
        </w:rPr>
        <w:t>O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Societatii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avea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loc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data de </w:t>
      </w:r>
      <w:r w:rsidR="00E764D5" w:rsidRPr="00E764D5">
        <w:rPr>
          <w:rFonts w:asciiTheme="majorHAnsi" w:eastAsia="DaxlinePro-Light" w:hAnsiTheme="majorHAnsi" w:cstheme="majorHAnsi"/>
          <w:sz w:val="20"/>
          <w:szCs w:val="20"/>
        </w:rPr>
        <w:t>2</w:t>
      </w:r>
      <w:r w:rsidR="00425910">
        <w:rPr>
          <w:rFonts w:asciiTheme="majorHAnsi" w:eastAsia="DaxlinePro-Light" w:hAnsiTheme="majorHAnsi" w:cstheme="majorHAnsi"/>
          <w:sz w:val="20"/>
          <w:szCs w:val="20"/>
        </w:rPr>
        <w:t>6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2021,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1</w:t>
      </w:r>
      <w:r w:rsidR="00425910">
        <w:rPr>
          <w:rFonts w:asciiTheme="majorHAnsi" w:eastAsia="DaxlinePro-Light" w:hAnsiTheme="majorHAnsi" w:cstheme="majorHAnsi"/>
          <w:sz w:val="20"/>
          <w:szCs w:val="20"/>
        </w:rPr>
        <w:t>0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>:00 (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României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) – prima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convocare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si,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respectiv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="00E764D5" w:rsidRPr="00E764D5">
        <w:rPr>
          <w:rFonts w:asciiTheme="majorHAnsi" w:eastAsia="DaxlinePro-Light" w:hAnsiTheme="majorHAnsi" w:cstheme="majorHAnsi"/>
          <w:sz w:val="20"/>
          <w:szCs w:val="20"/>
        </w:rPr>
        <w:t>2</w:t>
      </w:r>
      <w:r w:rsidR="00425910">
        <w:rPr>
          <w:rFonts w:asciiTheme="majorHAnsi" w:eastAsia="DaxlinePro-Light" w:hAnsiTheme="majorHAnsi" w:cstheme="majorHAnsi"/>
          <w:sz w:val="20"/>
          <w:szCs w:val="20"/>
        </w:rPr>
        <w:t>7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2021,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1</w:t>
      </w:r>
      <w:r w:rsidR="00425910">
        <w:rPr>
          <w:rFonts w:asciiTheme="majorHAnsi" w:eastAsia="DaxlinePro-Light" w:hAnsiTheme="majorHAnsi" w:cstheme="majorHAnsi"/>
          <w:sz w:val="20"/>
          <w:szCs w:val="20"/>
        </w:rPr>
        <w:t>0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>:00 (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României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) – 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doua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convocare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exercite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dreptul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vot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aferent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deţinerilor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mele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înregistrate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registrul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acţionarilor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la data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referinţă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după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cum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urmează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:</w:t>
      </w:r>
    </w:p>
    <w:p w14:paraId="3C43FC36" w14:textId="77777777" w:rsidR="00E06BEE" w:rsidRPr="00E764D5" w:rsidRDefault="00E06BEE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43695336" w14:textId="77777777" w:rsidR="00425910" w:rsidRPr="006B4864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bookmarkStart w:id="2" w:name="_heading=h.30j0zll" w:colFirst="0" w:colLast="0"/>
      <w:bookmarkEnd w:id="2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Aprobarea situatiilor financiare individuale ale Societatii pentru exercitiul financiar 2020, in baza raportului Consiliului de Administratie cu privire la activitatea Societatii in cursul anului 2020 si a raportului auditorului financiar al Societatii.</w:t>
      </w:r>
    </w:p>
    <w:p w14:paraId="3AAA0B45" w14:textId="77777777" w:rsidR="00425910" w:rsidRPr="006B4864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lastRenderedPageBreak/>
        <w:t>Aprobarea modului de repartizare a profitului net aferent anului financiar 2020, in suma de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en-GB" w:eastAsia="en-US"/>
        </w:rPr>
        <w:t xml:space="preserve">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7.191.975,96 lei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, astfel:</w:t>
      </w:r>
    </w:p>
    <w:p w14:paraId="287F28F0" w14:textId="77777777" w:rsidR="00425910" w:rsidRPr="006B4864" w:rsidRDefault="00425910" w:rsidP="0042591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before="120" w:after="120"/>
        <w:ind w:left="851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Rezerve legale =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428.769 lei</w:t>
      </w:r>
    </w:p>
    <w:p w14:paraId="315254FB" w14:textId="77777777" w:rsidR="00425910" w:rsidRPr="006B4864" w:rsidRDefault="00425910" w:rsidP="0042591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before="120" w:after="120"/>
        <w:ind w:left="851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Alte rezerve =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0 lei</w:t>
      </w:r>
    </w:p>
    <w:p w14:paraId="3E92FA33" w14:textId="77777777" w:rsidR="00425910" w:rsidRPr="006B4864" w:rsidRDefault="00425910" w:rsidP="0042591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before="120" w:after="120"/>
        <w:ind w:left="851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Capitalizare și utilizare pentru acordarea de acțiuni către acționari, printr-o operațiune de majorare de capital social =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val="single"/>
          <w:lang w:eastAsia="en-US"/>
        </w:rPr>
        <w:t>3.429.576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US"/>
        </w:rPr>
        <w:t xml:space="preserve"> 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lei</w:t>
      </w:r>
    </w:p>
    <w:p w14:paraId="27954847" w14:textId="77777777" w:rsidR="00425910" w:rsidRDefault="00425910" w:rsidP="00425910">
      <w:pPr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before="120" w:after="120"/>
        <w:ind w:left="851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Profit ramas nedistribuit =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 xml:space="preserve">3.333.630,96 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lei</w:t>
      </w:r>
    </w:p>
    <w:p w14:paraId="250285CA" w14:textId="77777777" w:rsidR="00425910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1C5C2A23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3607C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9678B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5E197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318E1F3B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930BF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5FD36C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3EAD60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3450EEBB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1FE33CAD" w14:textId="77777777" w:rsidR="00425910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Aprobarea descarcarii de gestiune a membrilor Consiliului de Administratie pentru activitatea aferenta anului financiar 2020.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1FBBEA7A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B69EC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3B81F6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5A4B1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4774957D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F0B70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06753E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CCB626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5E97B366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7CCA4BD5" w14:textId="77777777" w:rsidR="00425910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Aprobarea bugetului de venituri si cheltuieli al Societatii pentru exercitiul financiar 2021 si a Programului de Investitii 2021, ca parte a Bugetului de venituri si cheltuieli al Societatii.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284209A6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C2D47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F1E338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6C0DF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2EA3D24B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8E898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FC70B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3B0D6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5DC744D6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40A8AB6C" w14:textId="77777777" w:rsidR="00425910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Revocarea, ca urmare a renuntarii la mandat, a mandatului de administrator si membru al Consiliului de Administratie al Societatii al dnei. KUREK ZUZANNA-ANNA si descarcarea de gestiune a acesteia pentru perioada in care a indeplinit functia de administrator.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0E9876A6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5145F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AB3497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D418C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6DDFAD30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C692B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2B4634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30F97B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3903EB8C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66701CEB" w14:textId="77777777" w:rsidR="00425910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Revocarea, ca urmare a renuntarii la mandat, a mandatului de administrator si membru al Consiliului de Administratie al Societatii al dnei. MUSAT IULIANA si descarcarea de gestiune a acesteia pentru perioada in care a indeplinit functia de administrator.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1F9EA888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25303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078CA8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ABD888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068AB05E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43C0E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70A5FA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9C26D6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119CCAB6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3D876241" w14:textId="77777777" w:rsidR="00EA289F" w:rsidRPr="006B4864" w:rsidRDefault="00EA289F" w:rsidP="00EA289F">
      <w:pPr>
        <w:widowControl w:val="0"/>
        <w:numPr>
          <w:ilvl w:val="0"/>
          <w:numId w:val="10"/>
        </w:numPr>
        <w:tabs>
          <w:tab w:val="left" w:pos="360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Alegerea si numirea, ca urmare a vacantei celor doua posturi, a 2 (doi) noi administratori si membri ai Consiliului de Administratie, dintre care unul va indeplini criteriile de independenta prevazute de lege si de actul constitutiv al Societatii si aprobarea termenelor mandatelor celor 2 (doi) noi administratori,  respectiv de la data numirii prin AGOA pana la data expirarii mandatului de administrator al celui de-al treilea administrator inca in functie si anume 28.06.2021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, conform Listei de candidati definitivata de Consiliului de Administratie in data de 31.03.2021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. </w:t>
      </w:r>
    </w:p>
    <w:p w14:paraId="0DD11B6D" w14:textId="77777777" w:rsidR="00EA289F" w:rsidRDefault="00EA289F" w:rsidP="00EA289F">
      <w:pPr>
        <w:widowControl w:val="0"/>
        <w:tabs>
          <w:tab w:val="left" w:pos="360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EA289F" w:rsidRPr="002718C9" w14:paraId="3ECC03EB" w14:textId="77777777" w:rsidTr="00377999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5E6D6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456919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DDB740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EA289F" w:rsidRPr="002718C9" w14:paraId="66452604" w14:textId="77777777" w:rsidTr="00377999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F16FA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E14F09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A1DA6C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05D05DEB" w14:textId="77777777" w:rsidR="00EA289F" w:rsidRPr="006B4864" w:rsidRDefault="00EA289F" w:rsidP="00EA289F">
      <w:pPr>
        <w:widowControl w:val="0"/>
        <w:tabs>
          <w:tab w:val="left" w:pos="360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25AFBA84" w14:textId="77777777" w:rsidR="00EA289F" w:rsidRPr="006B4864" w:rsidRDefault="00EA289F" w:rsidP="00EA289F">
      <w:pPr>
        <w:widowControl w:val="0"/>
        <w:numPr>
          <w:ilvl w:val="0"/>
          <w:numId w:val="10"/>
        </w:numPr>
        <w:tabs>
          <w:tab w:val="left" w:pos="360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Alegerea si numirea incepand cu data de 29.06.2021, ca urmare a expirarii mandatelor tuturor administratorilor membri ai Consiliului de Administratie al Societatii, a 3 (trei) noi administratori si membri ai Consiliului de Administratie, dintre care cel putin unul care va indeplini criteriile de independenta prevazute de lege si de actul 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lastRenderedPageBreak/>
        <w:t>constitutiv al Societatii si stabilirea duratei mandatelor acestora, cu respectarea prevederilor art. 13.6 din Actul Constitutiv al Societatii, respectiv respectarea duratei maxime a mandatului de 4 (patru) ani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, conform Listei de candidati definitivata de Consiliului de Administratie in data de 31.03.2021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. </w:t>
      </w:r>
    </w:p>
    <w:p w14:paraId="619331FE" w14:textId="77777777" w:rsidR="00EA289F" w:rsidRDefault="00EA289F" w:rsidP="00EA289F">
      <w:pPr>
        <w:widowControl w:val="0"/>
        <w:tabs>
          <w:tab w:val="left" w:pos="360"/>
        </w:tabs>
        <w:spacing w:before="120" w:after="120"/>
        <w:ind w:left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EA289F" w:rsidRPr="002718C9" w14:paraId="4B241392" w14:textId="77777777" w:rsidTr="00377999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1C785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028E2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AD51B3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EA289F" w:rsidRPr="002718C9" w14:paraId="4D2F13F2" w14:textId="77777777" w:rsidTr="00377999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FB62F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CD035C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6DBE8" w14:textId="77777777" w:rsidR="00EA289F" w:rsidRPr="002718C9" w:rsidRDefault="00EA289F" w:rsidP="00377999">
            <w:pPr>
              <w:widowControl w:val="0"/>
              <w:tabs>
                <w:tab w:val="left" w:pos="360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6928D43B" w14:textId="77777777" w:rsidR="00EA289F" w:rsidRDefault="00EA289F" w:rsidP="00EA289F">
      <w:pPr>
        <w:widowControl w:val="0"/>
        <w:tabs>
          <w:tab w:val="left" w:pos="567"/>
        </w:tabs>
        <w:spacing w:before="120" w:after="120"/>
        <w:ind w:left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3EE91616" w14:textId="5E62DC62" w:rsidR="00425910" w:rsidRPr="00EA289F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Stabilirea limitelor generale ale remuneratiei brute acordate noilor membri ai Consiliului de Administratie si acordarea altor drepturi, pe perioada mandatului acestora, si totodata adoptarea Politicii de Remunerare a Consiliului de Administratie a Norofert S.A.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, in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conformitate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cu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prevederile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art. 92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vertAlign w:val="superscript"/>
          <w:lang w:eastAsia="en-US"/>
        </w:rPr>
        <w:t>1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al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Legii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nr. 24/2017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privind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emitentii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de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instrumente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financiare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si </w:t>
      </w:r>
      <w:proofErr w:type="spell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operatiuni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 xml:space="preserve"> de </w:t>
      </w:r>
      <w:proofErr w:type="spellStart"/>
      <w:proofErr w:type="gramStart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piata</w:t>
      </w:r>
      <w:proofErr w:type="spellEnd"/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eastAsia="en-US"/>
        </w:rPr>
        <w:t>;</w:t>
      </w:r>
      <w:proofErr w:type="gramEnd"/>
    </w:p>
    <w:p w14:paraId="11AD8C99" w14:textId="77777777" w:rsidR="00EA289F" w:rsidRPr="00897C65" w:rsidRDefault="00EA289F" w:rsidP="00EA289F">
      <w:pPr>
        <w:widowControl w:val="0"/>
        <w:tabs>
          <w:tab w:val="left" w:pos="567"/>
        </w:tabs>
        <w:spacing w:before="120" w:after="120"/>
        <w:ind w:left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25634833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12A47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FA8EE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C082B5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2DDAF044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59C53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B0726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AE2554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434037FF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11B0FC91" w14:textId="77777777" w:rsidR="00425910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Mandatarea Presedintelui Consiliului de Administratie al Societatii, in vederea negocierii si semnarii Contractele de Administrare ale celorlalti 2 (doi) noi administratori, membri ai Consiliului de Administratie, si mandatarea oricaruia dintre ceilalti 2 (doi) noi administratori, in vederea negocierii si semnarii Contractului de Administrare ce urmeaza a fi incheiat cu membrul Consiliului de Administratie, care urmeaza a fi desemnat drept Presedinte al Consiliului de Administratie, in numele si pe seama societatii, remuneratia acestora urmand a fi negociata in limitele generale ale remuneratiei brute acordate membrilor Consiliului de Administratie stabilite in conformitate cu Politica de Remunerare a Consiliului de Administratie a NOROFERT S.A., aprobata in conformitate cu punctul 9 al ordinii de zi. 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42B558DF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612BA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99516C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56CA3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43454A62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F2A92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B0E86C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158B7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54436CA3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39AB9DA7" w14:textId="77777777" w:rsidR="00425910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Stabilirea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datei de inregistrare (propunere: 18.05.2021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) si a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datei ex-date (propunere: 17.05.2021)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>, conform legii aplicabile.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20DF9720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BF3DA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56A00D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46F2DB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742CAA75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58C1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1AAB73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300B41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70942F48" w14:textId="77777777" w:rsidR="00425910" w:rsidRPr="006B4864" w:rsidRDefault="00425910" w:rsidP="00425910">
      <w:pPr>
        <w:widowControl w:val="0"/>
        <w:tabs>
          <w:tab w:val="left" w:pos="567"/>
        </w:tabs>
        <w:spacing w:before="120" w:after="120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</w:p>
    <w:p w14:paraId="7FE6C2D5" w14:textId="77777777" w:rsidR="00425910" w:rsidRPr="006B4864" w:rsidRDefault="00425910" w:rsidP="00425910">
      <w:pPr>
        <w:widowControl w:val="0"/>
        <w:numPr>
          <w:ilvl w:val="0"/>
          <w:numId w:val="10"/>
        </w:numPr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</w:pP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Autorizarea si imputernicirea Presedintelui Consiliului de Administratie al Societatii, cu drept de substituire/subdelegare, in vederea semnarii oricaror documente (inclusiv hotararile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AGOA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 si actul constitutiv actualizat al Societatii) si intreprinderii oricaror formalitati necesare in vederea implementarii, depunerii, inregistrarii si publicarii hotararilor </w:t>
      </w:r>
      <w:r w:rsidRPr="006B4864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val="ro-RO" w:eastAsia="en-US"/>
        </w:rPr>
        <w:t>AGOA</w:t>
      </w:r>
      <w:r w:rsidRPr="006B4864">
        <w:rPr>
          <w:rFonts w:asciiTheme="majorHAnsi" w:eastAsia="Calibri" w:hAnsiTheme="majorHAnsi" w:cstheme="majorHAnsi"/>
          <w:color w:val="000000"/>
          <w:sz w:val="20"/>
          <w:szCs w:val="20"/>
          <w:lang w:val="ro-RO" w:eastAsia="en-US"/>
        </w:rPr>
        <w:t xml:space="preserve"> si/sau a operatiunilor aprobate prin acestea, inclusiv reprezentarea Societatii in fata oricaror autoritati in acest scop.</w:t>
      </w:r>
    </w:p>
    <w:p w14:paraId="52CD51F3" w14:textId="77777777" w:rsidR="00425910" w:rsidRPr="002718C9" w:rsidRDefault="00425910" w:rsidP="00425910">
      <w:pPr>
        <w:widowControl w:val="0"/>
        <w:tabs>
          <w:tab w:val="left" w:pos="567"/>
        </w:tabs>
        <w:spacing w:before="120" w:after="120"/>
        <w:ind w:left="426" w:hanging="426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425910" w:rsidRPr="002718C9" w14:paraId="0DB315DF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DB8C3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35D061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7F447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ABȚINERE</w:t>
            </w:r>
          </w:p>
        </w:tc>
      </w:tr>
      <w:tr w:rsidR="00425910" w:rsidRPr="002718C9" w14:paraId="06B6DD1A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AC9D4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FD9E3B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AC43EE" w14:textId="77777777" w:rsidR="00425910" w:rsidRPr="002718C9" w:rsidRDefault="00425910" w:rsidP="00425910">
            <w:pPr>
              <w:widowControl w:val="0"/>
              <w:tabs>
                <w:tab w:val="left" w:pos="567"/>
              </w:tabs>
              <w:spacing w:before="120" w:after="120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18C9">
              <w:rPr>
                <w:rFonts w:asciiTheme="majorHAnsi" w:eastAsia="Calibri" w:hAnsiTheme="majorHAnsi" w:cstheme="majorHAnsi"/>
                <w:sz w:val="20"/>
                <w:szCs w:val="20"/>
              </w:rPr>
              <w:t> </w:t>
            </w:r>
          </w:p>
        </w:tc>
      </w:tr>
    </w:tbl>
    <w:p w14:paraId="7DF0F1DE" w14:textId="3CEB0F5D" w:rsidR="00E06BEE" w:rsidRDefault="00E06BEE" w:rsidP="00ED2C4B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</w:p>
    <w:p w14:paraId="20B927B9" w14:textId="77777777" w:rsidR="000D489E" w:rsidRPr="00E764D5" w:rsidRDefault="000D489E" w:rsidP="00ED2C4B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</w:p>
    <w:p w14:paraId="1F7BCCAF" w14:textId="77777777" w:rsidR="00E06BEE" w:rsidRPr="00E764D5" w:rsidRDefault="00ED2C4B">
      <w:pPr>
        <w:widowControl w:val="0"/>
        <w:jc w:val="both"/>
        <w:rPr>
          <w:rFonts w:asciiTheme="majorHAnsi" w:eastAsia="DaxlinePro-Light" w:hAnsiTheme="majorHAnsi" w:cstheme="majorHAnsi"/>
          <w:sz w:val="18"/>
          <w:szCs w:val="18"/>
        </w:rPr>
      </w:pP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Notă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: Se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indica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votul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exprimat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prin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bifarea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cu un „X” a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unuia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dintre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spatiile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pentru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variantele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„PENTRU”, „ÎMPOTRIVĂ”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„ABŢINERE”.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situaţia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care se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bifează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cu „X”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mai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mult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de o un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spatiu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nu se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bifează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nici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un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spatiu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votul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respectiv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este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considerat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nul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/ nu se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consideră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exercitat</w:t>
      </w:r>
      <w:proofErr w:type="spellEnd"/>
      <w:r w:rsidRPr="00E764D5">
        <w:rPr>
          <w:rFonts w:asciiTheme="majorHAnsi" w:eastAsia="DaxlinePro-Light" w:hAnsiTheme="majorHAnsi" w:cstheme="majorHAnsi"/>
          <w:sz w:val="18"/>
          <w:szCs w:val="18"/>
        </w:rPr>
        <w:t xml:space="preserve">. </w:t>
      </w:r>
    </w:p>
    <w:p w14:paraId="6B6812F0" w14:textId="77777777" w:rsidR="00E06BEE" w:rsidRPr="00E764D5" w:rsidRDefault="00E06BEE">
      <w:pPr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12AB7854" w14:textId="77777777" w:rsidR="00E06BEE" w:rsidRPr="00E764D5" w:rsidRDefault="00ED2C4B">
      <w:pPr>
        <w:spacing w:line="240" w:lineRule="auto"/>
        <w:ind w:firstLine="36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Prezenta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procură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specială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:</w:t>
      </w:r>
    </w:p>
    <w:p w14:paraId="5733DACC" w14:textId="09AE3531" w:rsidR="00E06BEE" w:rsidRPr="00E764D5" w:rsidRDefault="00ED2C4B">
      <w:pPr>
        <w:numPr>
          <w:ilvl w:val="0"/>
          <w:numId w:val="1"/>
        </w:numPr>
        <w:spacing w:line="240" w:lineRule="auto"/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este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valabilă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doar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pentru </w:t>
      </w:r>
      <w:r w:rsidR="000D489E">
        <w:rPr>
          <w:rFonts w:asciiTheme="majorHAnsi" w:eastAsia="DaxlinePro-Light" w:hAnsiTheme="majorHAnsi" w:cstheme="majorHAnsi"/>
          <w:sz w:val="20"/>
          <w:szCs w:val="20"/>
        </w:rPr>
        <w:t>AGOA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pentru care 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fost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solicitată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iar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reprezentantul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are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obligaţia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voteze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conformitate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instrucţiunile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formulate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acţionarul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care l-a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desemnat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sub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sancțiunea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anularii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votului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către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secretarii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şedinţei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gramStart"/>
      <w:r w:rsidR="000D489E">
        <w:rPr>
          <w:rFonts w:asciiTheme="majorHAnsi" w:eastAsia="DaxlinePro-Light" w:hAnsiTheme="majorHAnsi" w:cstheme="majorHAnsi"/>
          <w:sz w:val="20"/>
          <w:szCs w:val="20"/>
        </w:rPr>
        <w:t>AGOA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7B5DAB5B" w14:textId="7D85D031" w:rsidR="00E06BEE" w:rsidRPr="00E764D5" w:rsidRDefault="00ED2C4B">
      <w:pPr>
        <w:numPr>
          <w:ilvl w:val="0"/>
          <w:numId w:val="1"/>
        </w:numPr>
        <w:spacing w:line="240" w:lineRule="auto"/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termenul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limită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pentru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înregistrarea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procurilor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speciale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Societate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este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14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2021,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10:00 (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României</w:t>
      </w:r>
      <w:proofErr w:type="spellEnd"/>
      <w:proofErr w:type="gramStart"/>
      <w:r w:rsidRPr="00E764D5">
        <w:rPr>
          <w:rFonts w:asciiTheme="majorHAnsi" w:eastAsia="DaxlinePro-Light" w:hAnsiTheme="majorHAnsi" w:cstheme="majorHAnsi"/>
          <w:sz w:val="20"/>
          <w:szCs w:val="20"/>
        </w:rPr>
        <w:t>);</w:t>
      </w:r>
      <w:proofErr w:type="gramEnd"/>
    </w:p>
    <w:p w14:paraId="5383CDCD" w14:textId="77777777" w:rsidR="00E06BEE" w:rsidRPr="00E764D5" w:rsidRDefault="00ED2C4B">
      <w:pPr>
        <w:numPr>
          <w:ilvl w:val="0"/>
          <w:numId w:val="1"/>
        </w:numPr>
        <w:spacing w:line="240" w:lineRule="auto"/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se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redactează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3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exemplare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originale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din care: un exemplar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rămâne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mandant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un exemplar se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înmâna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împuternicitului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şi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un exemplar se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comunica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E764D5">
        <w:rPr>
          <w:rFonts w:asciiTheme="majorHAnsi" w:eastAsia="DaxlinePro-Light" w:hAnsiTheme="majorHAnsi" w:cstheme="majorHAnsi"/>
          <w:sz w:val="20"/>
          <w:szCs w:val="20"/>
        </w:rPr>
        <w:t>Societăţii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027B022D" w14:textId="77777777" w:rsidR="00E06BEE" w:rsidRPr="00E764D5" w:rsidRDefault="00ED2C4B">
      <w:pPr>
        <w:numPr>
          <w:ilvl w:val="0"/>
          <w:numId w:val="1"/>
        </w:numPr>
        <w:spacing w:line="240" w:lineRule="auto"/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se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semnează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şi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se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datează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către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acţionarul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mandant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;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cazul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acţionarilor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colectivi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se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semnează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toţi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acţionarii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proofErr w:type="gramStart"/>
      <w:r w:rsidRPr="00E764D5">
        <w:rPr>
          <w:rFonts w:asciiTheme="majorHAnsi" w:eastAsia="DaxlinePro-Light" w:hAnsiTheme="majorHAnsi" w:cstheme="majorHAnsi"/>
          <w:sz w:val="20"/>
          <w:szCs w:val="20"/>
          <w:u w:val="single"/>
        </w:rPr>
        <w:t>colectivi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440F1D83" w14:textId="77777777" w:rsidR="00E06BEE" w:rsidRPr="00E764D5" w:rsidRDefault="00ED2C4B">
      <w:pPr>
        <w:numPr>
          <w:ilvl w:val="0"/>
          <w:numId w:val="1"/>
        </w:numPr>
        <w:spacing w:line="240" w:lineRule="auto"/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fi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completată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acţionarul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mandant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toate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rubricile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E764D5">
        <w:rPr>
          <w:rFonts w:asciiTheme="majorHAnsi" w:eastAsia="DaxlinePro-Light" w:hAnsiTheme="majorHAnsi" w:cstheme="majorHAnsi"/>
          <w:sz w:val="20"/>
          <w:szCs w:val="20"/>
        </w:rPr>
        <w:t>înscrise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12EC0808" w14:textId="7D389618" w:rsidR="00E06BEE" w:rsidRPr="00E764D5" w:rsidRDefault="00ED2C4B">
      <w:pPr>
        <w:numPr>
          <w:ilvl w:val="0"/>
          <w:numId w:val="1"/>
        </w:numPr>
        <w:spacing w:line="240" w:lineRule="auto"/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conţine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informaţii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conformitate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Actul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Constitutiv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al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Societății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Legea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nr. 31/1990,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Legea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nr. 24/2017. </w:t>
      </w:r>
    </w:p>
    <w:p w14:paraId="03FCD26F" w14:textId="77777777" w:rsidR="00E06BEE" w:rsidRPr="00E764D5" w:rsidRDefault="00E06BEE">
      <w:pPr>
        <w:spacing w:line="240" w:lineRule="auto"/>
        <w:ind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1521904B" w14:textId="1A3EF532" w:rsidR="00E06BEE" w:rsidRPr="00E764D5" w:rsidRDefault="00ED2C4B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Anexez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prezentei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procuri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speciale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copia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identitate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care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permită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identificarea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mea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registrul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acționarilor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="00E764D5" w:rsidRPr="00E764D5">
        <w:rPr>
          <w:rFonts w:asciiTheme="majorHAnsi" w:eastAsia="DaxlinePro-Light" w:hAnsiTheme="majorHAnsi" w:cstheme="majorHAnsi"/>
          <w:sz w:val="20"/>
          <w:szCs w:val="20"/>
        </w:rPr>
        <w:t>NOROFERT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S.A., la data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referință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(</w:t>
      </w:r>
      <w:r w:rsidR="00E764D5" w:rsidRPr="00E764D5">
        <w:rPr>
          <w:rFonts w:asciiTheme="majorHAnsi" w:eastAsia="DaxlinePro-Light" w:hAnsiTheme="majorHAnsi" w:cstheme="majorHAnsi"/>
          <w:b/>
          <w:sz w:val="20"/>
          <w:szCs w:val="20"/>
        </w:rPr>
        <w:t>1</w:t>
      </w:r>
      <w:r w:rsidR="00425910">
        <w:rPr>
          <w:rFonts w:asciiTheme="majorHAnsi" w:eastAsia="DaxlinePro-Light" w:hAnsiTheme="majorHAnsi" w:cstheme="majorHAnsi"/>
          <w:b/>
          <w:sz w:val="20"/>
          <w:szCs w:val="20"/>
        </w:rPr>
        <w:t>5</w:t>
      </w:r>
      <w:r w:rsidRPr="00E764D5">
        <w:rPr>
          <w:rFonts w:asciiTheme="majorHAnsi" w:eastAsia="DaxlinePro-Light" w:hAnsiTheme="majorHAnsi" w:cstheme="majorHAnsi"/>
          <w:b/>
          <w:sz w:val="20"/>
          <w:szCs w:val="20"/>
        </w:rPr>
        <w:t>.04.2021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),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eliberat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Depozitarul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Central S.A.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şi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copia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identitate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al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împuternicitului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persoană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fizică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(BI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CI pentru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cetățenii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români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paşaport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permis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sedere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pentru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cetățenii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străini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).</w:t>
      </w:r>
    </w:p>
    <w:p w14:paraId="43A947EA" w14:textId="77777777" w:rsidR="00E06BEE" w:rsidRPr="00E764D5" w:rsidRDefault="00E06BEE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5038BE77" w14:textId="77777777" w:rsidR="00E06BEE" w:rsidRPr="00E764D5" w:rsidRDefault="00ED2C4B">
      <w:pPr>
        <w:spacing w:line="240" w:lineRule="auto"/>
        <w:jc w:val="both"/>
        <w:rPr>
          <w:rFonts w:asciiTheme="majorHAnsi" w:eastAsia="DaxlinePro-Light" w:hAnsiTheme="majorHAnsi" w:cstheme="majorHAnsi"/>
          <w:b/>
          <w:i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b/>
          <w:i/>
          <w:sz w:val="20"/>
          <w:szCs w:val="20"/>
        </w:rPr>
        <w:t>SAU</w:t>
      </w:r>
    </w:p>
    <w:p w14:paraId="2BEFA8A2" w14:textId="77777777" w:rsidR="00E06BEE" w:rsidRPr="00E764D5" w:rsidRDefault="00E06BEE">
      <w:pPr>
        <w:spacing w:line="240" w:lineRule="auto"/>
        <w:jc w:val="both"/>
        <w:rPr>
          <w:rFonts w:asciiTheme="majorHAnsi" w:eastAsia="DaxlinePro-Light" w:hAnsiTheme="majorHAnsi" w:cstheme="majorHAnsi"/>
          <w:b/>
          <w:i/>
          <w:sz w:val="20"/>
          <w:szCs w:val="20"/>
        </w:rPr>
      </w:pPr>
    </w:p>
    <w:p w14:paraId="24251AAE" w14:textId="77777777" w:rsidR="00E06BEE" w:rsidRPr="00E764D5" w:rsidRDefault="00ED2C4B">
      <w:pPr>
        <w:spacing w:line="240" w:lineRule="auto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cazul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împuternicitului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persoană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juridică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ataşăm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şi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certificatul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constatator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al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acestuia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original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copie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conformă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originalul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eliberat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Registrul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Comerțului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orice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alt document,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original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copie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conformă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originalul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emis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către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o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autoritate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competentă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din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statul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origine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indicând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printre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altele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identitatea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reprezentantului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legal al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acestuia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, cu o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vechime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cel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mult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30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zile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inainte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de data de </w:t>
      </w:r>
      <w:proofErr w:type="spellStart"/>
      <w:r w:rsidRPr="00E764D5">
        <w:rPr>
          <w:rFonts w:asciiTheme="majorHAnsi" w:eastAsia="DaxlinePro-Light" w:hAnsiTheme="majorHAnsi" w:cstheme="majorHAnsi"/>
          <w:sz w:val="20"/>
          <w:szCs w:val="20"/>
        </w:rPr>
        <w:t>referinta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.</w:t>
      </w:r>
    </w:p>
    <w:p w14:paraId="3E7D5828" w14:textId="5307F79D" w:rsidR="00E06BEE" w:rsidRPr="00E764D5" w:rsidRDefault="00E06BEE">
      <w:pPr>
        <w:spacing w:line="240" w:lineRule="auto"/>
        <w:ind w:left="360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73B3114E" w14:textId="77777777" w:rsidR="00370E47" w:rsidRPr="00E764D5" w:rsidRDefault="00370E47">
      <w:pPr>
        <w:spacing w:line="240" w:lineRule="auto"/>
        <w:ind w:left="360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69ABD34A" w14:textId="31FE2646" w:rsidR="00E06BEE" w:rsidRPr="00E764D5" w:rsidRDefault="00ED2C4B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Data </w:t>
      </w: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acordării</w:t>
      </w:r>
      <w:proofErr w:type="spellEnd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procurii</w:t>
      </w:r>
      <w:proofErr w:type="spellEnd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speciale</w:t>
      </w:r>
      <w:proofErr w:type="spellEnd"/>
      <w:r w:rsidRPr="00E764D5">
        <w:rPr>
          <w:rFonts w:asciiTheme="majorHAnsi" w:eastAsia="DaxlinePro-Light" w:hAnsiTheme="majorHAnsi" w:cstheme="majorHAnsi"/>
          <w:sz w:val="20"/>
          <w:szCs w:val="20"/>
        </w:rPr>
        <w:t>: _________________________________</w:t>
      </w:r>
    </w:p>
    <w:p w14:paraId="7FD5B923" w14:textId="29FE797A" w:rsidR="00E06BEE" w:rsidRPr="00E764D5" w:rsidRDefault="00ED2C4B">
      <w:pPr>
        <w:spacing w:line="240" w:lineRule="auto"/>
        <w:jc w:val="both"/>
        <w:rPr>
          <w:rFonts w:asciiTheme="majorHAnsi" w:eastAsia="DaxlinePro-Light" w:hAnsiTheme="majorHAnsi" w:cstheme="majorHAnsi"/>
          <w:sz w:val="18"/>
          <w:szCs w:val="18"/>
        </w:rPr>
      </w:pPr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*In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situația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in care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acţionarul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transmite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succesiv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mai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mult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de o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procură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specială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Societatea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considera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procura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specială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având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o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dată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ulterioară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revocă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procura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(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ile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)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specială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(e)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anterioară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(e).</w:t>
      </w:r>
    </w:p>
    <w:p w14:paraId="452C6C33" w14:textId="77777777" w:rsidR="00E06BEE" w:rsidRPr="00E764D5" w:rsidRDefault="00E06BEE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</w:p>
    <w:p w14:paraId="543FBD5D" w14:textId="37ABE448" w:rsidR="00E06BEE" w:rsidRPr="00E764D5" w:rsidRDefault="00E06BEE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</w:p>
    <w:p w14:paraId="58617D3D" w14:textId="77777777" w:rsidR="00370E47" w:rsidRPr="00E764D5" w:rsidRDefault="00370E47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</w:p>
    <w:p w14:paraId="2C5074A6" w14:textId="72F26624" w:rsidR="00E06BEE" w:rsidRPr="00E764D5" w:rsidRDefault="00ED2C4B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Nume</w:t>
      </w:r>
      <w:proofErr w:type="spellEnd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şi</w:t>
      </w:r>
      <w:proofErr w:type="spellEnd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prenume</w:t>
      </w:r>
      <w:proofErr w:type="spellEnd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: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____________________________________________</w:t>
      </w:r>
    </w:p>
    <w:p w14:paraId="4C6BD78C" w14:textId="493C510F" w:rsidR="00E06BEE" w:rsidRPr="00E764D5" w:rsidRDefault="00ED2C4B" w:rsidP="00ED2C4B">
      <w:pPr>
        <w:spacing w:line="240" w:lineRule="auto"/>
        <w:jc w:val="both"/>
        <w:rPr>
          <w:rFonts w:asciiTheme="majorHAnsi" w:eastAsia="DaxlinePro-Light" w:hAnsiTheme="majorHAnsi" w:cstheme="majorHAnsi"/>
          <w:sz w:val="18"/>
          <w:szCs w:val="18"/>
        </w:rPr>
      </w:pPr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*Se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completa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cu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numele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şi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prenumele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acţionarului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persoană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fizică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,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în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clar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, cu majuscule)</w:t>
      </w:r>
    </w:p>
    <w:p w14:paraId="6038EE33" w14:textId="2F0E7A42" w:rsidR="00E06BEE" w:rsidRPr="00E764D5" w:rsidRDefault="00E06BEE">
      <w:pPr>
        <w:spacing w:line="240" w:lineRule="auto"/>
        <w:ind w:left="360"/>
        <w:rPr>
          <w:rFonts w:asciiTheme="majorHAnsi" w:eastAsia="DaxlinePro-Light" w:hAnsiTheme="majorHAnsi" w:cstheme="majorHAnsi"/>
          <w:sz w:val="20"/>
          <w:szCs w:val="20"/>
        </w:rPr>
      </w:pPr>
    </w:p>
    <w:p w14:paraId="5974FB6F" w14:textId="77777777" w:rsidR="00370E47" w:rsidRPr="00E764D5" w:rsidRDefault="00370E47">
      <w:pPr>
        <w:spacing w:line="240" w:lineRule="auto"/>
        <w:ind w:left="360"/>
        <w:rPr>
          <w:rFonts w:asciiTheme="majorHAnsi" w:eastAsia="DaxlinePro-Light" w:hAnsiTheme="majorHAnsi" w:cstheme="majorHAnsi"/>
          <w:sz w:val="20"/>
          <w:szCs w:val="20"/>
        </w:rPr>
      </w:pPr>
    </w:p>
    <w:p w14:paraId="0B06F1BB" w14:textId="77777777" w:rsidR="00ED2C4B" w:rsidRPr="00E764D5" w:rsidRDefault="00ED2C4B" w:rsidP="00ED2C4B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Semnătura</w:t>
      </w:r>
      <w:proofErr w:type="spellEnd"/>
      <w:r w:rsidRPr="00E764D5">
        <w:rPr>
          <w:rFonts w:asciiTheme="majorHAnsi" w:eastAsia="DaxlinePro-Light" w:hAnsiTheme="majorHAnsi" w:cstheme="majorHAnsi"/>
          <w:b/>
          <w:bCs/>
          <w:sz w:val="20"/>
          <w:szCs w:val="20"/>
        </w:rPr>
        <w:t>:</w:t>
      </w:r>
      <w:r w:rsidRPr="00E764D5">
        <w:rPr>
          <w:rFonts w:asciiTheme="majorHAnsi" w:eastAsia="DaxlinePro-Light" w:hAnsiTheme="majorHAnsi" w:cstheme="majorHAnsi"/>
          <w:sz w:val="20"/>
          <w:szCs w:val="20"/>
        </w:rPr>
        <w:t xml:space="preserve"> _________________________________________________</w:t>
      </w:r>
    </w:p>
    <w:p w14:paraId="65207E0B" w14:textId="196816B8" w:rsidR="00E06BEE" w:rsidRPr="00E764D5" w:rsidRDefault="00ED2C4B" w:rsidP="00ED2C4B">
      <w:pPr>
        <w:spacing w:line="240" w:lineRule="auto"/>
        <w:rPr>
          <w:rFonts w:asciiTheme="majorHAnsi" w:eastAsia="DaxlinePro-Light" w:hAnsiTheme="majorHAnsi" w:cstheme="majorHAnsi"/>
          <w:sz w:val="20"/>
          <w:szCs w:val="20"/>
        </w:rPr>
      </w:pPr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*In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cazul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acţionarilor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colectivi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, se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va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semna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de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toţi</w:t>
      </w:r>
      <w:proofErr w:type="spellEnd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 xml:space="preserve"> </w:t>
      </w:r>
      <w:proofErr w:type="spellStart"/>
      <w:r w:rsidRPr="00E764D5">
        <w:rPr>
          <w:rFonts w:asciiTheme="majorHAnsi" w:eastAsia="DaxlinePro-Light" w:hAnsiTheme="majorHAnsi" w:cstheme="majorHAnsi"/>
          <w:i/>
          <w:sz w:val="18"/>
          <w:szCs w:val="18"/>
        </w:rPr>
        <w:t>acţionarii</w:t>
      </w:r>
      <w:proofErr w:type="spellEnd"/>
    </w:p>
    <w:sectPr w:rsidR="00E06BEE" w:rsidRPr="00E764D5" w:rsidSect="00E764D5">
      <w:headerReference w:type="default" r:id="rId8"/>
      <w:pgSz w:w="12240" w:h="15840"/>
      <w:pgMar w:top="1665" w:right="1170" w:bottom="1440" w:left="1440" w:header="142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D6EB" w14:textId="77777777" w:rsidR="006D74EF" w:rsidRDefault="006D74EF" w:rsidP="001F427C">
      <w:pPr>
        <w:spacing w:line="240" w:lineRule="auto"/>
      </w:pPr>
      <w:r>
        <w:separator/>
      </w:r>
    </w:p>
  </w:endnote>
  <w:endnote w:type="continuationSeparator" w:id="0">
    <w:p w14:paraId="4017A218" w14:textId="77777777" w:rsidR="006D74EF" w:rsidRDefault="006D74EF" w:rsidP="001F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linePro-Ligh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67EA" w14:textId="77777777" w:rsidR="006D74EF" w:rsidRDefault="006D74EF" w:rsidP="001F427C">
      <w:pPr>
        <w:spacing w:line="240" w:lineRule="auto"/>
      </w:pPr>
      <w:r>
        <w:separator/>
      </w:r>
    </w:p>
  </w:footnote>
  <w:footnote w:type="continuationSeparator" w:id="0">
    <w:p w14:paraId="5F77739F" w14:textId="77777777" w:rsidR="006D74EF" w:rsidRDefault="006D74EF" w:rsidP="001F4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BA27" w14:textId="77777777" w:rsidR="00E764D5" w:rsidRPr="004157D0" w:rsidRDefault="00E764D5" w:rsidP="00E764D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b/>
        <w:sz w:val="24"/>
        <w:szCs w:val="24"/>
        <w:lang w:eastAsia="en-US"/>
      </w:rPr>
    </w:pPr>
    <w:r w:rsidRPr="004157D0">
      <w:rPr>
        <w:rFonts w:ascii="Calibri" w:eastAsia="Calibri" w:hAnsi="Calibri" w:cs="Times New Roman"/>
        <w:b/>
        <w:sz w:val="24"/>
        <w:szCs w:val="24"/>
        <w:lang w:eastAsia="en-US"/>
      </w:rPr>
      <w:t>NOROFERT S.A.</w:t>
    </w:r>
  </w:p>
  <w:p w14:paraId="7A082DAD" w14:textId="77777777" w:rsidR="00E764D5" w:rsidRPr="004157D0" w:rsidRDefault="00E764D5" w:rsidP="00E764D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0"/>
        <w:szCs w:val="20"/>
        <w:lang w:eastAsia="en-US"/>
      </w:rPr>
    </w:pPr>
    <w:bookmarkStart w:id="3" w:name="_Hlk66962864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Bucuresti </w:t>
    </w:r>
    <w:proofErr w:type="spellStart"/>
    <w:r w:rsidRPr="004157D0">
      <w:rPr>
        <w:rFonts w:ascii="Calibri" w:eastAsia="Calibri" w:hAnsi="Calibri" w:cs="Calibri"/>
        <w:sz w:val="20"/>
        <w:szCs w:val="20"/>
        <w:lang w:eastAsia="en-US"/>
      </w:rPr>
      <w:t>Sectorul</w:t>
    </w:r>
    <w:proofErr w:type="spellEnd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 5 Str. PETRACHE POENARU Nr. 26, CAM. 8</w:t>
    </w:r>
  </w:p>
  <w:p w14:paraId="26CD38F0" w14:textId="77777777" w:rsidR="00E764D5" w:rsidRPr="004157D0" w:rsidRDefault="00E764D5" w:rsidP="00E764D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0"/>
        <w:szCs w:val="20"/>
        <w:lang w:eastAsia="en-US"/>
      </w:rPr>
    </w:pPr>
    <w:r w:rsidRPr="004157D0">
      <w:rPr>
        <w:rFonts w:ascii="Calibri" w:eastAsia="Calibri" w:hAnsi="Calibri" w:cs="Calibri"/>
        <w:color w:val="000000"/>
        <w:sz w:val="20"/>
        <w:szCs w:val="20"/>
        <w:shd w:val="clear" w:color="auto" w:fill="FFFFFF"/>
        <w:lang w:eastAsia="en-US"/>
      </w:rPr>
      <w:t>J40/4222/2000</w:t>
    </w:r>
    <w:r w:rsidRPr="004157D0">
      <w:rPr>
        <w:rFonts w:ascii="Calibri" w:eastAsia="Calibri" w:hAnsi="Calibri" w:cs="Calibri"/>
        <w:color w:val="000000"/>
        <w:sz w:val="20"/>
        <w:szCs w:val="20"/>
        <w:lang w:eastAsia="en-US"/>
      </w:rPr>
      <w:t xml:space="preserve">, </w:t>
    </w:r>
    <w:r w:rsidRPr="004157D0">
      <w:rPr>
        <w:rFonts w:ascii="Calibri" w:eastAsia="Calibri" w:hAnsi="Calibri" w:cs="Calibri"/>
        <w:sz w:val="20"/>
        <w:szCs w:val="20"/>
        <w:lang w:eastAsia="en-US"/>
      </w:rPr>
      <w:t>CUI 12972762</w:t>
    </w:r>
  </w:p>
  <w:bookmarkEnd w:id="3"/>
  <w:p w14:paraId="2A0E2907" w14:textId="77777777" w:rsidR="00E764D5" w:rsidRPr="004157D0" w:rsidRDefault="00E764D5" w:rsidP="00E764D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  <w:lang w:eastAsia="en-US"/>
      </w:rPr>
    </w:pPr>
    <w:r w:rsidRPr="004157D0">
      <w:rPr>
        <w:rFonts w:ascii="Calibri" w:eastAsia="Calibri" w:hAnsi="Calibri" w:cs="Calibri"/>
        <w:sz w:val="20"/>
        <w:szCs w:val="20"/>
        <w:lang w:eastAsia="en-US"/>
      </w:rPr>
      <w:t xml:space="preserve">Capital social </w:t>
    </w:r>
    <w:proofErr w:type="spellStart"/>
    <w:r w:rsidRPr="004157D0">
      <w:rPr>
        <w:rFonts w:ascii="Calibri" w:eastAsia="Calibri" w:hAnsi="Calibri" w:cs="Calibri"/>
        <w:sz w:val="20"/>
        <w:szCs w:val="20"/>
        <w:lang w:eastAsia="en-US"/>
      </w:rPr>
      <w:t>subscris</w:t>
    </w:r>
    <w:proofErr w:type="spellEnd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 </w:t>
    </w:r>
    <w:proofErr w:type="spellStart"/>
    <w:r w:rsidRPr="004157D0">
      <w:rPr>
        <w:rFonts w:ascii="Calibri" w:eastAsia="Calibri" w:hAnsi="Calibri" w:cs="Calibri"/>
        <w:sz w:val="20"/>
        <w:szCs w:val="20"/>
        <w:lang w:eastAsia="en-US"/>
      </w:rPr>
      <w:t>varsat</w:t>
    </w:r>
    <w:proofErr w:type="spellEnd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: 3.209.576 </w:t>
    </w:r>
    <w:proofErr w:type="gramStart"/>
    <w:r w:rsidRPr="004157D0">
      <w:rPr>
        <w:rFonts w:ascii="Calibri" w:eastAsia="Calibri" w:hAnsi="Calibri" w:cs="Calibri"/>
        <w:sz w:val="20"/>
        <w:szCs w:val="20"/>
        <w:lang w:eastAsia="en-US"/>
      </w:rPr>
      <w:t>RON</w:t>
    </w:r>
    <w:proofErr w:type="gramEnd"/>
  </w:p>
  <w:p w14:paraId="58C78092" w14:textId="77777777" w:rsidR="001F427C" w:rsidRDefault="001F4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7CE0"/>
    <w:multiLevelType w:val="hybridMultilevel"/>
    <w:tmpl w:val="DD188C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4A9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8E0892"/>
    <w:multiLevelType w:val="hybridMultilevel"/>
    <w:tmpl w:val="BC28C204"/>
    <w:lvl w:ilvl="0" w:tplc="88B62B6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CB1"/>
    <w:multiLevelType w:val="hybridMultilevel"/>
    <w:tmpl w:val="E29E71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4E6B"/>
    <w:multiLevelType w:val="hybridMultilevel"/>
    <w:tmpl w:val="92844E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5D89"/>
    <w:multiLevelType w:val="hybridMultilevel"/>
    <w:tmpl w:val="211C8EC4"/>
    <w:lvl w:ilvl="0" w:tplc="44E47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00F"/>
    <w:multiLevelType w:val="hybridMultilevel"/>
    <w:tmpl w:val="F5FA3E54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4F109B"/>
    <w:multiLevelType w:val="hybridMultilevel"/>
    <w:tmpl w:val="6A64036E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F73BEF"/>
    <w:multiLevelType w:val="hybridMultilevel"/>
    <w:tmpl w:val="BD2E45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A3C6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F3A12"/>
    <w:multiLevelType w:val="hybridMultilevel"/>
    <w:tmpl w:val="025E26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480DBE"/>
    <w:multiLevelType w:val="multilevel"/>
    <w:tmpl w:val="A914F70C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CA46C68"/>
    <w:multiLevelType w:val="hybridMultilevel"/>
    <w:tmpl w:val="4EF6A2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EE"/>
    <w:rsid w:val="000505F0"/>
    <w:rsid w:val="000D489E"/>
    <w:rsid w:val="001F427C"/>
    <w:rsid w:val="00370E47"/>
    <w:rsid w:val="00425910"/>
    <w:rsid w:val="006D74EF"/>
    <w:rsid w:val="008820F5"/>
    <w:rsid w:val="00B21A27"/>
    <w:rsid w:val="00BC1121"/>
    <w:rsid w:val="00E06BEE"/>
    <w:rsid w:val="00E764D5"/>
    <w:rsid w:val="00EA289F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88FE2"/>
  <w15:docId w15:val="{99B565DA-C177-41D4-8B11-58D2E52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B563A4"/>
    <w:pPr>
      <w:ind w:left="720"/>
      <w:contextualSpacing/>
    </w:pPr>
    <w:rPr>
      <w:lang w:val="en" w:eastAsia="ja-JP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7C"/>
  </w:style>
  <w:style w:type="paragraph" w:styleId="Footer">
    <w:name w:val="footer"/>
    <w:basedOn w:val="Normal"/>
    <w:link w:val="FooterChar"/>
    <w:uiPriority w:val="99"/>
    <w:unhideWhenUsed/>
    <w:rsid w:val="001F4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7C"/>
  </w:style>
  <w:style w:type="paragraph" w:styleId="CommentText">
    <w:name w:val="annotation text"/>
    <w:basedOn w:val="Normal"/>
    <w:link w:val="CommentTextChar"/>
    <w:uiPriority w:val="99"/>
    <w:semiHidden/>
    <w:unhideWhenUsed/>
    <w:rsid w:val="000D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9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48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Bu7bsh1CrZLdO8wUkfJ+JYrGA==">AMUW2mVbGPGBwXBjMojQIMOpz6ERTsP6gDzn4sLv2W2yMrDoInnkDFkk9g66FJHoDonNOGpmJzasP+SddZs5jQQl4R1Hs+5GEiXNoWafu50EKw1rpKRKKJv3lkO9jTrDcIuI5Kva4fc+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Birlean</dc:creator>
  <cp:lastModifiedBy>Aron, Dinu si Asociatii</cp:lastModifiedBy>
  <cp:revision>4</cp:revision>
  <dcterms:created xsi:type="dcterms:W3CDTF">2021-03-21T12:49:00Z</dcterms:created>
  <dcterms:modified xsi:type="dcterms:W3CDTF">2021-03-24T17:57:00Z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0x0101000E6B5AD49F56394D8C00C5CDFFD09953</vt:lpwstr>
  </property>
</Properties>
</file>