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8048E" w14:textId="77777777" w:rsidR="00EB5F83" w:rsidRPr="00EB5F83" w:rsidRDefault="00EB5F83" w:rsidP="00EB5F83">
      <w:pPr>
        <w:spacing w:before="120" w:after="120"/>
        <w:contextualSpacing/>
        <w:jc w:val="center"/>
        <w:rPr>
          <w:rFonts w:asciiTheme="majorHAnsi" w:eastAsia="DaxlinePro-Light" w:hAnsiTheme="majorHAnsi" w:cstheme="majorHAnsi"/>
          <w:b/>
          <w:sz w:val="20"/>
          <w:szCs w:val="20"/>
        </w:rPr>
      </w:pPr>
      <w:r w:rsidRPr="00EB5F83">
        <w:rPr>
          <w:rFonts w:asciiTheme="majorHAnsi" w:eastAsia="DaxlinePro-Light" w:hAnsiTheme="majorHAnsi" w:cstheme="majorHAnsi"/>
          <w:b/>
          <w:sz w:val="20"/>
          <w:szCs w:val="20"/>
        </w:rPr>
        <w:t>Voting form</w:t>
      </w:r>
    </w:p>
    <w:p w14:paraId="7C439AF7" w14:textId="550B9B65" w:rsidR="00EB5F83" w:rsidRPr="00EB5F83" w:rsidRDefault="00EB5F83" w:rsidP="00EB5F83">
      <w:pPr>
        <w:spacing w:before="120" w:after="120"/>
        <w:contextualSpacing/>
        <w:jc w:val="center"/>
        <w:rPr>
          <w:rFonts w:asciiTheme="majorHAnsi" w:eastAsia="DaxlinePro-Light" w:hAnsiTheme="majorHAnsi" w:cstheme="majorHAnsi"/>
          <w:b/>
          <w:sz w:val="20"/>
          <w:szCs w:val="20"/>
        </w:rPr>
      </w:pPr>
      <w:r w:rsidRPr="00EB5F83">
        <w:rPr>
          <w:rFonts w:asciiTheme="majorHAnsi" w:eastAsia="DaxlinePro-Light" w:hAnsiTheme="majorHAnsi" w:cstheme="majorHAnsi"/>
          <w:b/>
          <w:sz w:val="20"/>
          <w:szCs w:val="20"/>
        </w:rPr>
        <w:t>shareholders legal entities</w:t>
      </w:r>
    </w:p>
    <w:p w14:paraId="489CFEB3" w14:textId="78059854" w:rsidR="00EB5F83" w:rsidRPr="00EB5F83" w:rsidRDefault="00EB5F83" w:rsidP="00EB5F83">
      <w:pPr>
        <w:spacing w:before="120" w:after="120"/>
        <w:contextualSpacing/>
        <w:jc w:val="center"/>
        <w:rPr>
          <w:rFonts w:asciiTheme="majorHAnsi" w:eastAsia="DaxlinePro-Light" w:hAnsiTheme="majorHAnsi" w:cstheme="majorHAnsi"/>
          <w:bCs/>
          <w:sz w:val="20"/>
          <w:szCs w:val="20"/>
        </w:rPr>
      </w:pPr>
      <w:r w:rsidRPr="00EB5F83">
        <w:rPr>
          <w:rFonts w:asciiTheme="majorHAnsi" w:eastAsia="DaxlinePro-Light" w:hAnsiTheme="majorHAnsi" w:cstheme="majorHAnsi"/>
          <w:bCs/>
          <w:sz w:val="20"/>
          <w:szCs w:val="20"/>
        </w:rPr>
        <w:t xml:space="preserve">for the Extraordinary General </w:t>
      </w:r>
      <w:r w:rsidR="001C1BB8" w:rsidRPr="00EB5F83">
        <w:rPr>
          <w:rFonts w:asciiTheme="majorHAnsi" w:eastAsia="DaxlinePro-Light" w:hAnsiTheme="majorHAnsi" w:cstheme="majorHAnsi"/>
          <w:bCs/>
          <w:sz w:val="20"/>
          <w:szCs w:val="20"/>
        </w:rPr>
        <w:t xml:space="preserve">Shareholders </w:t>
      </w:r>
      <w:r w:rsidRPr="00EB5F83">
        <w:rPr>
          <w:rFonts w:asciiTheme="majorHAnsi" w:eastAsia="DaxlinePro-Light" w:hAnsiTheme="majorHAnsi" w:cstheme="majorHAnsi"/>
          <w:bCs/>
          <w:sz w:val="20"/>
          <w:szCs w:val="20"/>
        </w:rPr>
        <w:t>Meeting (</w:t>
      </w:r>
      <w:r>
        <w:rPr>
          <w:rFonts w:asciiTheme="majorHAnsi" w:eastAsia="DaxlinePro-Light" w:hAnsiTheme="majorHAnsi" w:cstheme="majorHAnsi"/>
          <w:bCs/>
          <w:sz w:val="20"/>
          <w:szCs w:val="20"/>
        </w:rPr>
        <w:t>EGSM</w:t>
      </w:r>
      <w:r w:rsidRPr="00EB5F83">
        <w:rPr>
          <w:rFonts w:asciiTheme="majorHAnsi" w:eastAsia="DaxlinePro-Light" w:hAnsiTheme="majorHAnsi" w:cstheme="majorHAnsi"/>
          <w:bCs/>
          <w:sz w:val="20"/>
          <w:szCs w:val="20"/>
        </w:rPr>
        <w:t xml:space="preserve">) </w:t>
      </w:r>
      <w:r w:rsidR="00051497">
        <w:rPr>
          <w:rFonts w:asciiTheme="majorHAnsi" w:eastAsia="DaxlinePro-Light" w:hAnsiTheme="majorHAnsi" w:cstheme="majorHAnsi"/>
          <w:bCs/>
          <w:sz w:val="20"/>
          <w:szCs w:val="20"/>
        </w:rPr>
        <w:t>NOROFERT</w:t>
      </w:r>
      <w:r w:rsidRPr="00EB5F83">
        <w:rPr>
          <w:rFonts w:asciiTheme="majorHAnsi" w:eastAsia="DaxlinePro-Light" w:hAnsiTheme="majorHAnsi" w:cstheme="majorHAnsi"/>
          <w:bCs/>
          <w:sz w:val="20"/>
          <w:szCs w:val="20"/>
        </w:rPr>
        <w:t xml:space="preserve"> S.A.</w:t>
      </w:r>
    </w:p>
    <w:p w14:paraId="49E3F45D" w14:textId="058BE16B" w:rsidR="00EB5F83" w:rsidRPr="00EB5F83" w:rsidRDefault="00EB5F83" w:rsidP="00EB5F83">
      <w:pPr>
        <w:spacing w:before="120" w:after="120"/>
        <w:contextualSpacing/>
        <w:jc w:val="center"/>
        <w:rPr>
          <w:rFonts w:asciiTheme="majorHAnsi" w:eastAsia="DaxlinePro-Light" w:hAnsiTheme="majorHAnsi" w:cstheme="majorHAnsi"/>
          <w:bCs/>
          <w:sz w:val="20"/>
          <w:szCs w:val="20"/>
        </w:rPr>
      </w:pPr>
      <w:r w:rsidRPr="00EB5F83">
        <w:rPr>
          <w:rFonts w:asciiTheme="majorHAnsi" w:eastAsia="DaxlinePro-Light" w:hAnsiTheme="majorHAnsi" w:cstheme="majorHAnsi"/>
          <w:bCs/>
          <w:sz w:val="20"/>
          <w:szCs w:val="20"/>
        </w:rPr>
        <w:t xml:space="preserve">from </w:t>
      </w:r>
      <w:r w:rsidR="00051497">
        <w:rPr>
          <w:rFonts w:asciiTheme="majorHAnsi" w:eastAsia="DaxlinePro-Light" w:hAnsiTheme="majorHAnsi" w:cstheme="majorHAnsi"/>
          <w:bCs/>
          <w:sz w:val="20"/>
          <w:szCs w:val="20"/>
        </w:rPr>
        <w:t>26/27</w:t>
      </w:r>
      <w:r w:rsidRPr="00EB5F83">
        <w:rPr>
          <w:rFonts w:asciiTheme="majorHAnsi" w:eastAsia="DaxlinePro-Light" w:hAnsiTheme="majorHAnsi" w:cstheme="majorHAnsi"/>
          <w:bCs/>
          <w:sz w:val="20"/>
          <w:szCs w:val="20"/>
        </w:rPr>
        <w:t>.04.2021</w:t>
      </w:r>
    </w:p>
    <w:p w14:paraId="0BB216F9" w14:textId="77777777" w:rsidR="00EB5F83" w:rsidRDefault="00EB5F83" w:rsidP="007F15B3">
      <w:pPr>
        <w:spacing w:before="120" w:after="120" w:line="240" w:lineRule="auto"/>
        <w:jc w:val="both"/>
        <w:rPr>
          <w:rFonts w:asciiTheme="majorHAnsi" w:eastAsia="DaxlinePro-Light" w:hAnsiTheme="majorHAnsi" w:cstheme="majorHAnsi"/>
          <w:sz w:val="20"/>
          <w:szCs w:val="20"/>
        </w:rPr>
      </w:pPr>
    </w:p>
    <w:p w14:paraId="20330B4C" w14:textId="28818402" w:rsidR="007F15B3" w:rsidRPr="007F15B3" w:rsidRDefault="007F15B3" w:rsidP="007F15B3">
      <w:pPr>
        <w:spacing w:before="120" w:after="120" w:line="240" w:lineRule="auto"/>
        <w:jc w:val="both"/>
        <w:rPr>
          <w:rFonts w:asciiTheme="majorHAnsi" w:eastAsia="DaxlinePro-Light" w:hAnsiTheme="majorHAnsi" w:cstheme="majorHAnsi"/>
          <w:sz w:val="20"/>
          <w:szCs w:val="20"/>
        </w:rPr>
      </w:pPr>
      <w:r>
        <w:rPr>
          <w:rFonts w:asciiTheme="majorHAnsi" w:eastAsia="DaxlinePro-Light" w:hAnsiTheme="majorHAnsi" w:cstheme="majorHAnsi"/>
          <w:sz w:val="20"/>
          <w:szCs w:val="20"/>
        </w:rPr>
        <w:t>The Underwirtten</w:t>
      </w:r>
      <w:r w:rsidRPr="007F15B3">
        <w:rPr>
          <w:rFonts w:asciiTheme="majorHAnsi" w:eastAsia="DaxlinePro-Light" w:hAnsiTheme="majorHAnsi" w:cstheme="majorHAnsi"/>
          <w:sz w:val="20"/>
          <w:szCs w:val="20"/>
        </w:rPr>
        <w:t>, _______________________________________________________________________</w:t>
      </w:r>
    </w:p>
    <w:p w14:paraId="614522BF" w14:textId="77777777" w:rsidR="007F15B3" w:rsidRPr="007F15B3" w:rsidRDefault="007F15B3" w:rsidP="007F15B3">
      <w:pPr>
        <w:spacing w:before="120" w:after="120" w:line="240" w:lineRule="auto"/>
        <w:jc w:val="both"/>
        <w:rPr>
          <w:rFonts w:asciiTheme="majorHAnsi" w:eastAsia="DaxlinePro-Light" w:hAnsiTheme="majorHAnsi" w:cstheme="majorHAnsi"/>
          <w:i/>
          <w:iCs/>
          <w:sz w:val="18"/>
          <w:szCs w:val="18"/>
        </w:rPr>
      </w:pPr>
      <w:r w:rsidRPr="007F15B3">
        <w:rPr>
          <w:rFonts w:asciiTheme="majorHAnsi" w:eastAsia="DaxlinePro-Light" w:hAnsiTheme="majorHAnsi" w:cstheme="majorHAnsi"/>
          <w:i/>
          <w:iCs/>
          <w:sz w:val="18"/>
          <w:szCs w:val="18"/>
        </w:rPr>
        <w:t>* To be filled in with the name of the shareholder legal entity</w:t>
      </w:r>
    </w:p>
    <w:p w14:paraId="3452E5CF" w14:textId="3277788B" w:rsidR="007F15B3" w:rsidRPr="007F15B3" w:rsidRDefault="007F15B3" w:rsidP="007F15B3">
      <w:pPr>
        <w:spacing w:before="120" w:after="120" w:line="240" w:lineRule="auto"/>
        <w:jc w:val="both"/>
        <w:rPr>
          <w:rFonts w:asciiTheme="majorHAnsi" w:eastAsia="DaxlinePro-Light" w:hAnsiTheme="majorHAnsi" w:cstheme="majorHAnsi"/>
          <w:sz w:val="20"/>
          <w:szCs w:val="20"/>
        </w:rPr>
      </w:pPr>
      <w:r w:rsidRPr="007F15B3">
        <w:rPr>
          <w:rFonts w:asciiTheme="majorHAnsi" w:eastAsia="DaxlinePro-Light" w:hAnsiTheme="majorHAnsi" w:cstheme="majorHAnsi"/>
          <w:sz w:val="20"/>
          <w:szCs w:val="20"/>
        </w:rPr>
        <w:t xml:space="preserve">with the registered office located in _______________________________________________________________, registered </w:t>
      </w:r>
      <w:r>
        <w:rPr>
          <w:rFonts w:asciiTheme="majorHAnsi" w:eastAsia="DaxlinePro-Light" w:hAnsiTheme="majorHAnsi" w:cstheme="majorHAnsi"/>
          <w:sz w:val="20"/>
          <w:szCs w:val="20"/>
        </w:rPr>
        <w:t>with</w:t>
      </w:r>
      <w:r w:rsidRPr="007F15B3">
        <w:rPr>
          <w:rFonts w:asciiTheme="majorHAnsi" w:eastAsia="DaxlinePro-Light" w:hAnsiTheme="majorHAnsi" w:cstheme="majorHAnsi"/>
          <w:sz w:val="20"/>
          <w:szCs w:val="20"/>
        </w:rPr>
        <w:t xml:space="preserve"> the Trade Register / similar entity for non-resident legal entities under no .___________________________, unique registration code / equivalent registration number for non-resident legal entities ______________</w:t>
      </w:r>
      <w:r>
        <w:rPr>
          <w:rFonts w:asciiTheme="majorHAnsi" w:eastAsia="DaxlinePro-Light" w:hAnsiTheme="majorHAnsi" w:cstheme="majorHAnsi"/>
          <w:sz w:val="20"/>
          <w:szCs w:val="20"/>
        </w:rPr>
        <w:t>_______________________________________</w:t>
      </w:r>
      <w:r w:rsidR="00250A27">
        <w:rPr>
          <w:rFonts w:asciiTheme="majorHAnsi" w:eastAsia="DaxlinePro-Light" w:hAnsiTheme="majorHAnsi" w:cstheme="majorHAnsi"/>
          <w:sz w:val="20"/>
          <w:szCs w:val="20"/>
        </w:rPr>
        <w:t>__________________________________</w:t>
      </w:r>
    </w:p>
    <w:p w14:paraId="6B4709AB" w14:textId="77777777" w:rsidR="007F15B3" w:rsidRPr="007F15B3" w:rsidRDefault="007F15B3" w:rsidP="007F15B3">
      <w:pPr>
        <w:spacing w:before="120" w:after="120" w:line="240" w:lineRule="auto"/>
        <w:jc w:val="both"/>
        <w:rPr>
          <w:rFonts w:asciiTheme="majorHAnsi" w:eastAsia="DaxlinePro-Light" w:hAnsiTheme="majorHAnsi" w:cstheme="majorHAnsi"/>
          <w:sz w:val="20"/>
          <w:szCs w:val="20"/>
        </w:rPr>
      </w:pPr>
      <w:r w:rsidRPr="007F15B3">
        <w:rPr>
          <w:rFonts w:asciiTheme="majorHAnsi" w:eastAsia="DaxlinePro-Light" w:hAnsiTheme="majorHAnsi" w:cstheme="majorHAnsi"/>
          <w:sz w:val="20"/>
          <w:szCs w:val="20"/>
        </w:rPr>
        <w:t>________________ legally represented by __________________________________________________________</w:t>
      </w:r>
    </w:p>
    <w:p w14:paraId="742F4BBA" w14:textId="77777777" w:rsidR="007F15B3" w:rsidRDefault="007F15B3" w:rsidP="007F15B3">
      <w:pPr>
        <w:spacing w:before="120" w:after="120" w:line="240" w:lineRule="auto"/>
        <w:jc w:val="both"/>
        <w:rPr>
          <w:rFonts w:asciiTheme="majorHAnsi" w:eastAsia="DaxlinePro-Light" w:hAnsiTheme="majorHAnsi" w:cstheme="majorHAnsi"/>
          <w:sz w:val="20"/>
          <w:szCs w:val="20"/>
        </w:rPr>
      </w:pPr>
      <w:r w:rsidRPr="007F15B3">
        <w:rPr>
          <w:rFonts w:asciiTheme="majorHAnsi" w:eastAsia="DaxlinePro-Light" w:hAnsiTheme="majorHAnsi" w:cstheme="majorHAnsi"/>
          <w:sz w:val="20"/>
          <w:szCs w:val="20"/>
        </w:rPr>
        <w:t>________________________________</w:t>
      </w:r>
    </w:p>
    <w:p w14:paraId="43F9A566" w14:textId="7EE957A5" w:rsidR="004406DF" w:rsidRPr="007409E1" w:rsidRDefault="00926953" w:rsidP="007F15B3">
      <w:pPr>
        <w:spacing w:line="240" w:lineRule="auto"/>
        <w:jc w:val="both"/>
        <w:rPr>
          <w:rFonts w:asciiTheme="majorHAnsi" w:eastAsia="DaxlinePro-Light" w:hAnsiTheme="majorHAnsi" w:cstheme="majorHAnsi"/>
          <w:i/>
          <w:color w:val="000000" w:themeColor="text1"/>
          <w:sz w:val="18"/>
          <w:szCs w:val="18"/>
        </w:rPr>
      </w:pPr>
      <w:r w:rsidRPr="007409E1">
        <w:rPr>
          <w:rFonts w:asciiTheme="majorHAnsi" w:eastAsia="DaxlinePro-Light" w:hAnsiTheme="majorHAnsi" w:cstheme="majorHAnsi"/>
          <w:i/>
          <w:color w:val="000000" w:themeColor="text1"/>
          <w:sz w:val="18"/>
          <w:szCs w:val="18"/>
        </w:rPr>
        <w:t>*</w:t>
      </w:r>
      <w:r w:rsidR="007F15B3" w:rsidRPr="007F15B3">
        <w:t xml:space="preserve"> </w:t>
      </w:r>
      <w:r w:rsidR="007F15B3" w:rsidRPr="007F15B3">
        <w:rPr>
          <w:rFonts w:asciiTheme="majorHAnsi" w:eastAsia="DaxlinePro-Light" w:hAnsiTheme="majorHAnsi" w:cstheme="majorHAnsi"/>
          <w:i/>
          <w:color w:val="000000" w:themeColor="text1"/>
          <w:sz w:val="18"/>
          <w:szCs w:val="18"/>
        </w:rPr>
        <w:t>To be filled in with the name and surname of the legal representative of the shareholder legal person, as they appear in the documents proving the quality of representative</w:t>
      </w:r>
    </w:p>
    <w:p w14:paraId="5B4B12B2" w14:textId="77777777" w:rsidR="004406DF" w:rsidRPr="007409E1" w:rsidRDefault="004406DF">
      <w:pPr>
        <w:spacing w:line="240" w:lineRule="auto"/>
        <w:jc w:val="both"/>
        <w:rPr>
          <w:rFonts w:asciiTheme="majorHAnsi" w:eastAsia="DaxlinePro-Light" w:hAnsiTheme="majorHAnsi" w:cstheme="majorHAnsi"/>
          <w:sz w:val="20"/>
          <w:szCs w:val="20"/>
        </w:rPr>
      </w:pPr>
    </w:p>
    <w:p w14:paraId="001DDC3A" w14:textId="27ECD67F" w:rsidR="007F15B3" w:rsidRPr="00051497" w:rsidRDefault="007F15B3" w:rsidP="00051497">
      <w:pPr>
        <w:spacing w:before="120" w:after="120"/>
        <w:jc w:val="both"/>
        <w:rPr>
          <w:rFonts w:asciiTheme="majorHAnsi" w:eastAsia="Calibri" w:hAnsiTheme="majorHAnsi" w:cstheme="majorHAnsi"/>
          <w:sz w:val="20"/>
          <w:szCs w:val="20"/>
          <w:lang w:val="en-US"/>
        </w:rPr>
      </w:pPr>
      <w:r w:rsidRPr="007F15B3">
        <w:rPr>
          <w:rFonts w:asciiTheme="majorHAnsi" w:eastAsia="DaxlinePro-Light" w:hAnsiTheme="majorHAnsi" w:cstheme="majorHAnsi"/>
          <w:bCs/>
          <w:sz w:val="20"/>
          <w:szCs w:val="20"/>
          <w:lang w:val="ro-RO"/>
        </w:rPr>
        <w:t xml:space="preserve">as a shareholder of </w:t>
      </w:r>
      <w:r w:rsidR="00051497">
        <w:rPr>
          <w:rFonts w:asciiTheme="majorHAnsi" w:eastAsia="DaxlinePro-Light" w:hAnsiTheme="majorHAnsi" w:cstheme="majorHAnsi"/>
          <w:b/>
          <w:sz w:val="20"/>
          <w:szCs w:val="20"/>
          <w:lang w:val="ro-RO"/>
        </w:rPr>
        <w:t>NOROFERT</w:t>
      </w:r>
      <w:r w:rsidRPr="007F15B3">
        <w:rPr>
          <w:rFonts w:asciiTheme="majorHAnsi" w:eastAsia="DaxlinePro-Light" w:hAnsiTheme="majorHAnsi" w:cstheme="majorHAnsi"/>
          <w:b/>
          <w:sz w:val="20"/>
          <w:szCs w:val="20"/>
          <w:lang w:val="ro-RO"/>
        </w:rPr>
        <w:t xml:space="preserve"> S.A</w:t>
      </w:r>
      <w:r w:rsidRPr="007F15B3">
        <w:rPr>
          <w:rFonts w:asciiTheme="majorHAnsi" w:eastAsia="DaxlinePro-Light" w:hAnsiTheme="majorHAnsi" w:cstheme="majorHAnsi"/>
          <w:bCs/>
          <w:sz w:val="20"/>
          <w:szCs w:val="20"/>
          <w:lang w:val="ro-RO"/>
        </w:rPr>
        <w:t xml:space="preserve">., </w:t>
      </w:r>
      <w:r w:rsidR="00051497" w:rsidRPr="00051497">
        <w:rPr>
          <w:rFonts w:asciiTheme="majorHAnsi" w:eastAsia="Calibri" w:hAnsiTheme="majorHAnsi" w:cstheme="majorHAnsi"/>
          <w:sz w:val="20"/>
          <w:szCs w:val="20"/>
          <w:lang w:val="ro-RO"/>
        </w:rPr>
        <w:t>headquartered in Bucharest, 5th District, 26 Petrache Poenaru Street, Room no. 8, having the sole registration code 12972762 and the Trade Registry registration number J40/4222/2000 (hereinafter refered to as the "</w:t>
      </w:r>
      <w:r w:rsidR="00051497" w:rsidRPr="00051497">
        <w:rPr>
          <w:rFonts w:asciiTheme="majorHAnsi" w:eastAsia="Calibri" w:hAnsiTheme="majorHAnsi" w:cstheme="majorHAnsi"/>
          <w:b/>
          <w:bCs/>
          <w:sz w:val="20"/>
          <w:szCs w:val="20"/>
          <w:lang w:val="ro-RO"/>
        </w:rPr>
        <w:t>Company</w:t>
      </w:r>
      <w:r w:rsidR="00051497" w:rsidRPr="00051497">
        <w:rPr>
          <w:rFonts w:asciiTheme="majorHAnsi" w:eastAsia="Calibri" w:hAnsiTheme="majorHAnsi" w:cstheme="majorHAnsi"/>
          <w:sz w:val="20"/>
          <w:szCs w:val="20"/>
          <w:lang w:val="ro-RO"/>
        </w:rPr>
        <w:t>"),</w:t>
      </w:r>
    </w:p>
    <w:p w14:paraId="14965AD0" w14:textId="4BBF89F5" w:rsidR="007F15B3" w:rsidRPr="007F15B3" w:rsidRDefault="007F15B3" w:rsidP="007F15B3">
      <w:pPr>
        <w:widowControl w:val="0"/>
        <w:tabs>
          <w:tab w:val="left" w:pos="0"/>
        </w:tabs>
        <w:jc w:val="both"/>
        <w:rPr>
          <w:rFonts w:asciiTheme="majorHAnsi" w:eastAsia="DaxlinePro-Light" w:hAnsiTheme="majorHAnsi" w:cstheme="majorHAnsi"/>
          <w:bCs/>
          <w:sz w:val="20"/>
          <w:szCs w:val="20"/>
          <w:lang w:val="ro-RO"/>
        </w:rPr>
      </w:pPr>
      <w:r w:rsidRPr="007F15B3">
        <w:rPr>
          <w:rFonts w:asciiTheme="majorHAnsi" w:eastAsia="DaxlinePro-Light" w:hAnsiTheme="majorHAnsi" w:cstheme="majorHAnsi"/>
          <w:bCs/>
          <w:sz w:val="20"/>
          <w:szCs w:val="20"/>
          <w:lang w:val="ro-RO"/>
        </w:rPr>
        <w:t xml:space="preserve">having knowledge of the agenda of the meeting of the EGSM of the Company from April </w:t>
      </w:r>
      <w:r w:rsidR="00051497">
        <w:rPr>
          <w:rFonts w:asciiTheme="majorHAnsi" w:eastAsia="DaxlinePro-Light" w:hAnsiTheme="majorHAnsi" w:cstheme="majorHAnsi"/>
          <w:bCs/>
          <w:sz w:val="20"/>
          <w:szCs w:val="20"/>
          <w:lang w:val="ro-RO"/>
        </w:rPr>
        <w:t>26</w:t>
      </w:r>
      <w:r w:rsidRPr="007F15B3">
        <w:rPr>
          <w:rFonts w:asciiTheme="majorHAnsi" w:eastAsia="DaxlinePro-Light" w:hAnsiTheme="majorHAnsi" w:cstheme="majorHAnsi"/>
          <w:bCs/>
          <w:sz w:val="20"/>
          <w:szCs w:val="20"/>
          <w:lang w:val="ro-RO"/>
        </w:rPr>
        <w:t>, 2021, at 1</w:t>
      </w:r>
      <w:r w:rsidR="00C02DD6">
        <w:rPr>
          <w:rFonts w:asciiTheme="majorHAnsi" w:eastAsia="DaxlinePro-Light" w:hAnsiTheme="majorHAnsi" w:cstheme="majorHAnsi"/>
          <w:bCs/>
          <w:sz w:val="20"/>
          <w:szCs w:val="20"/>
          <w:lang w:val="ro-RO"/>
        </w:rPr>
        <w:t>1</w:t>
      </w:r>
      <w:r w:rsidRPr="007F15B3">
        <w:rPr>
          <w:rFonts w:asciiTheme="majorHAnsi" w:eastAsia="DaxlinePro-Light" w:hAnsiTheme="majorHAnsi" w:cstheme="majorHAnsi"/>
          <w:bCs/>
          <w:sz w:val="20"/>
          <w:szCs w:val="20"/>
          <w:lang w:val="ro-RO"/>
        </w:rPr>
        <w:t xml:space="preserve">:00 (Romanian time) - the first convocation and, respectively April </w:t>
      </w:r>
      <w:r w:rsidR="00051497">
        <w:rPr>
          <w:rFonts w:asciiTheme="majorHAnsi" w:eastAsia="DaxlinePro-Light" w:hAnsiTheme="majorHAnsi" w:cstheme="majorHAnsi"/>
          <w:bCs/>
          <w:sz w:val="20"/>
          <w:szCs w:val="20"/>
          <w:lang w:val="ro-RO"/>
        </w:rPr>
        <w:t>27</w:t>
      </w:r>
      <w:r w:rsidRPr="007F15B3">
        <w:rPr>
          <w:rFonts w:asciiTheme="majorHAnsi" w:eastAsia="DaxlinePro-Light" w:hAnsiTheme="majorHAnsi" w:cstheme="majorHAnsi"/>
          <w:bCs/>
          <w:sz w:val="20"/>
          <w:szCs w:val="20"/>
          <w:lang w:val="ro-RO"/>
        </w:rPr>
        <w:t>, 2020, at 11:00 (Romanian time) - the second convocation, and of documentation and informative materials related to the respective agenda, in accordance with the FSA Regulation no. 5/2018, by this vote I mean to express my vote for the Company's EGSM, as follows:</w:t>
      </w:r>
    </w:p>
    <w:p w14:paraId="6726AAD0" w14:textId="77777777" w:rsidR="007F15B3" w:rsidRPr="007F15B3" w:rsidRDefault="007F15B3" w:rsidP="007F15B3">
      <w:pPr>
        <w:widowControl w:val="0"/>
        <w:tabs>
          <w:tab w:val="left" w:pos="284"/>
        </w:tabs>
        <w:ind w:left="284" w:hanging="284"/>
        <w:jc w:val="both"/>
        <w:rPr>
          <w:rFonts w:asciiTheme="majorHAnsi" w:eastAsia="DaxlinePro-Light" w:hAnsiTheme="majorHAnsi" w:cstheme="majorHAnsi"/>
          <w:sz w:val="20"/>
          <w:szCs w:val="20"/>
          <w:lang w:val="ro-RO"/>
        </w:rPr>
      </w:pPr>
    </w:p>
    <w:p w14:paraId="69D99D0A" w14:textId="65245E57" w:rsidR="00051497" w:rsidRDefault="00051497" w:rsidP="008F2152">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item no. 1 conditioned by completion of the share capital in cash increase operation of the Company, with the amount of </w:t>
      </w:r>
      <w:r w:rsidRPr="00051497">
        <w:rPr>
          <w:rFonts w:asciiTheme="majorHAnsi" w:eastAsia="DaxlinePro-Light" w:hAnsiTheme="majorHAnsi" w:cstheme="majorHAnsi"/>
          <w:b/>
          <w:bCs/>
          <w:sz w:val="20"/>
          <w:szCs w:val="20"/>
          <w:u w:val="single"/>
          <w:lang w:val="en-US"/>
        </w:rPr>
        <w:t>220,000</w:t>
      </w:r>
      <w:r w:rsidRPr="00051497">
        <w:rPr>
          <w:rFonts w:asciiTheme="majorHAnsi" w:eastAsia="DaxlinePro-Light" w:hAnsiTheme="majorHAnsi" w:cstheme="majorHAnsi"/>
          <w:b/>
          <w:bCs/>
          <w:sz w:val="20"/>
          <w:szCs w:val="20"/>
          <w:lang w:val="en-US"/>
        </w:rPr>
        <w:t xml:space="preserve"> (twenty two hundred thousand) LEI</w:t>
      </w:r>
      <w:r w:rsidRPr="00051497">
        <w:rPr>
          <w:rFonts w:asciiTheme="majorHAnsi" w:eastAsia="DaxlinePro-Light" w:hAnsiTheme="majorHAnsi" w:cstheme="majorHAnsi"/>
          <w:sz w:val="20"/>
          <w:szCs w:val="20"/>
          <w:lang w:val="en-US"/>
        </w:rPr>
        <w:t xml:space="preserve">, by issuing </w:t>
      </w:r>
      <w:r w:rsidRPr="00051497">
        <w:rPr>
          <w:rFonts w:asciiTheme="majorHAnsi" w:eastAsia="DaxlinePro-Light" w:hAnsiTheme="majorHAnsi" w:cstheme="majorHAnsi"/>
          <w:b/>
          <w:bCs/>
          <w:sz w:val="20"/>
          <w:szCs w:val="20"/>
          <w:u w:val="single"/>
          <w:lang w:val="en-US"/>
        </w:rPr>
        <w:t>550,000</w:t>
      </w:r>
      <w:r w:rsidRPr="00051497">
        <w:rPr>
          <w:rFonts w:asciiTheme="majorHAnsi" w:eastAsia="DaxlinePro-Light" w:hAnsiTheme="majorHAnsi" w:cstheme="majorHAnsi"/>
          <w:sz w:val="20"/>
          <w:szCs w:val="20"/>
          <w:lang w:val="en-US"/>
        </w:rPr>
        <w:t xml:space="preserve"> (fifty five hundred thousand) new shares with the nominal value of 0.4 LEI/share, from </w:t>
      </w:r>
      <w:r w:rsidRPr="00051497">
        <w:rPr>
          <w:rFonts w:asciiTheme="majorHAnsi" w:eastAsia="DaxlinePro-Light" w:hAnsiTheme="majorHAnsi" w:cstheme="majorHAnsi"/>
          <w:b/>
          <w:bCs/>
          <w:sz w:val="20"/>
          <w:szCs w:val="20"/>
          <w:u w:val="single"/>
          <w:lang w:val="en-US"/>
        </w:rPr>
        <w:t>3,209,576</w:t>
      </w:r>
      <w:r w:rsidRPr="00051497">
        <w:rPr>
          <w:rFonts w:asciiTheme="majorHAnsi" w:eastAsia="DaxlinePro-Light" w:hAnsiTheme="majorHAnsi" w:cstheme="majorHAnsi"/>
          <w:sz w:val="20"/>
          <w:szCs w:val="20"/>
          <w:lang w:val="en-US"/>
        </w:rPr>
        <w:t xml:space="preserve"> (three million two hundred and nine thousand five hundred seventy six) LEI, in cash, corresponding to </w:t>
      </w:r>
      <w:r w:rsidRPr="00051497">
        <w:rPr>
          <w:rFonts w:asciiTheme="majorHAnsi" w:eastAsia="DaxlinePro-Light" w:hAnsiTheme="majorHAnsi" w:cstheme="majorHAnsi"/>
          <w:b/>
          <w:bCs/>
          <w:sz w:val="20"/>
          <w:szCs w:val="20"/>
          <w:u w:val="single"/>
          <w:lang w:val="en-US"/>
        </w:rPr>
        <w:t>8,023,940</w:t>
      </w:r>
      <w:r w:rsidRPr="00051497">
        <w:rPr>
          <w:rFonts w:asciiTheme="majorHAnsi" w:eastAsia="DaxlinePro-Light" w:hAnsiTheme="majorHAnsi" w:cstheme="majorHAnsi"/>
          <w:sz w:val="20"/>
          <w:szCs w:val="20"/>
          <w:lang w:val="en-US"/>
        </w:rPr>
        <w:t xml:space="preserve"> </w:t>
      </w:r>
      <w:r w:rsidRPr="00051497">
        <w:rPr>
          <w:rFonts w:asciiTheme="majorHAnsi" w:eastAsia="DaxlinePro-Light" w:hAnsiTheme="majorHAnsi" w:cstheme="majorHAnsi"/>
          <w:b/>
          <w:bCs/>
          <w:sz w:val="20"/>
          <w:szCs w:val="20"/>
          <w:lang w:val="en-US"/>
        </w:rPr>
        <w:t>(eight million twenty three thousand nine hundred and forty)</w:t>
      </w:r>
      <w:r w:rsidRPr="00051497">
        <w:rPr>
          <w:rFonts w:asciiTheme="majorHAnsi" w:eastAsia="DaxlinePro-Light" w:hAnsiTheme="majorHAnsi" w:cstheme="majorHAnsi"/>
          <w:sz w:val="20"/>
          <w:szCs w:val="20"/>
          <w:lang w:val="en-US"/>
        </w:rPr>
        <w:t xml:space="preserve"> shares with the nominal value of 0.4 LEI/share, to </w:t>
      </w:r>
      <w:r w:rsidRPr="00051497">
        <w:rPr>
          <w:rFonts w:asciiTheme="majorHAnsi" w:eastAsia="DaxlinePro-Light" w:hAnsiTheme="majorHAnsi" w:cstheme="majorHAnsi"/>
          <w:b/>
          <w:bCs/>
          <w:sz w:val="20"/>
          <w:szCs w:val="20"/>
          <w:u w:val="single"/>
          <w:lang w:val="en-US"/>
        </w:rPr>
        <w:t>3,429,576</w:t>
      </w:r>
      <w:r w:rsidRPr="00051497">
        <w:rPr>
          <w:rFonts w:asciiTheme="majorHAnsi" w:eastAsia="DaxlinePro-Light" w:hAnsiTheme="majorHAnsi" w:cstheme="majorHAnsi"/>
          <w:b/>
          <w:bCs/>
          <w:sz w:val="20"/>
          <w:szCs w:val="20"/>
          <w:lang w:val="en-US"/>
        </w:rPr>
        <w:t xml:space="preserve"> (three million four hundred twenty nine thousand five hundred and seventy six) LEI</w:t>
      </w:r>
      <w:r w:rsidRPr="00051497">
        <w:rPr>
          <w:rFonts w:asciiTheme="majorHAnsi" w:eastAsia="DaxlinePro-Light" w:hAnsiTheme="majorHAnsi" w:cstheme="majorHAnsi"/>
          <w:sz w:val="20"/>
          <w:szCs w:val="20"/>
          <w:lang w:val="en-US"/>
        </w:rPr>
        <w:t xml:space="preserve">, in cash, corresponding to </w:t>
      </w:r>
      <w:r w:rsidRPr="00051497">
        <w:rPr>
          <w:rFonts w:asciiTheme="majorHAnsi" w:eastAsia="DaxlinePro-Light" w:hAnsiTheme="majorHAnsi" w:cstheme="majorHAnsi"/>
          <w:b/>
          <w:bCs/>
          <w:sz w:val="20"/>
          <w:szCs w:val="20"/>
          <w:u w:val="single"/>
          <w:lang w:val="en-US"/>
        </w:rPr>
        <w:t>8,573,940</w:t>
      </w:r>
      <w:r w:rsidRPr="00051497">
        <w:rPr>
          <w:rFonts w:asciiTheme="majorHAnsi" w:eastAsia="DaxlinePro-Light" w:hAnsiTheme="majorHAnsi" w:cstheme="majorHAnsi"/>
          <w:b/>
          <w:bCs/>
          <w:sz w:val="20"/>
          <w:szCs w:val="20"/>
          <w:lang w:val="en-US"/>
        </w:rPr>
        <w:t xml:space="preserve"> (eight million five hundred seventy three thousand nine hundred forty) </w:t>
      </w:r>
      <w:r w:rsidRPr="00051497">
        <w:rPr>
          <w:rFonts w:asciiTheme="majorHAnsi" w:eastAsia="DaxlinePro-Light" w:hAnsiTheme="majorHAnsi" w:cstheme="majorHAnsi"/>
          <w:sz w:val="20"/>
          <w:szCs w:val="20"/>
          <w:lang w:val="en-US"/>
        </w:rPr>
        <w:t xml:space="preserve">shares with the nominal value of 0.4 LEI/shares, by private placement, in accordance with point 2 of the Resolution of the Extraordinary Shareholder Meeting of </w:t>
      </w:r>
      <w:proofErr w:type="spellStart"/>
      <w:r w:rsidRPr="00051497">
        <w:rPr>
          <w:rFonts w:asciiTheme="majorHAnsi" w:eastAsia="DaxlinePro-Light" w:hAnsiTheme="majorHAnsi" w:cstheme="majorHAnsi"/>
          <w:sz w:val="20"/>
          <w:szCs w:val="20"/>
          <w:lang w:val="en-US"/>
        </w:rPr>
        <w:t>Norofert</w:t>
      </w:r>
      <w:proofErr w:type="spellEnd"/>
      <w:r w:rsidRPr="00051497">
        <w:rPr>
          <w:rFonts w:asciiTheme="majorHAnsi" w:eastAsia="DaxlinePro-Light" w:hAnsiTheme="majorHAnsi" w:cstheme="majorHAnsi"/>
          <w:sz w:val="20"/>
          <w:szCs w:val="20"/>
          <w:lang w:val="en-US"/>
        </w:rPr>
        <w:t xml:space="preserve"> S.A. dated as of 24.11.2020, Approval of the increase of the share capital of the Company operation with the maximum amount of </w:t>
      </w:r>
      <w:r w:rsidRPr="00051497">
        <w:rPr>
          <w:rFonts w:asciiTheme="majorHAnsi" w:eastAsia="DaxlinePro-Light" w:hAnsiTheme="majorHAnsi" w:cstheme="majorHAnsi"/>
          <w:b/>
          <w:bCs/>
          <w:sz w:val="20"/>
          <w:szCs w:val="20"/>
          <w:u w:val="single"/>
          <w:lang w:val="en-US"/>
        </w:rPr>
        <w:t>3,429,576</w:t>
      </w:r>
      <w:r w:rsidRPr="00051497">
        <w:rPr>
          <w:rFonts w:asciiTheme="majorHAnsi" w:eastAsia="DaxlinePro-Light" w:hAnsiTheme="majorHAnsi" w:cstheme="majorHAnsi"/>
          <w:b/>
          <w:bCs/>
          <w:sz w:val="20"/>
          <w:szCs w:val="20"/>
          <w:lang w:val="en-US"/>
        </w:rPr>
        <w:t xml:space="preserve"> (three million four hundred twenty nine thousand five hundred and seventy six) LEI</w:t>
      </w:r>
      <w:r w:rsidRPr="00051497">
        <w:rPr>
          <w:rFonts w:asciiTheme="majorHAnsi" w:eastAsia="DaxlinePro-Light" w:hAnsiTheme="majorHAnsi" w:cstheme="majorHAnsi"/>
          <w:sz w:val="20"/>
          <w:szCs w:val="20"/>
          <w:lang w:val="en-US"/>
        </w:rPr>
        <w:t xml:space="preserve">, by issuing a number of </w:t>
      </w:r>
      <w:r w:rsidRPr="00051497">
        <w:rPr>
          <w:rFonts w:asciiTheme="majorHAnsi" w:eastAsia="DaxlinePro-Light" w:hAnsiTheme="majorHAnsi" w:cstheme="majorHAnsi"/>
          <w:b/>
          <w:bCs/>
          <w:sz w:val="20"/>
          <w:szCs w:val="20"/>
          <w:u w:val="single"/>
          <w:lang w:val="en-US"/>
        </w:rPr>
        <w:t>8,573,940</w:t>
      </w:r>
      <w:r w:rsidRPr="00051497">
        <w:rPr>
          <w:rFonts w:asciiTheme="majorHAnsi" w:eastAsia="DaxlinePro-Light" w:hAnsiTheme="majorHAnsi" w:cstheme="majorHAnsi"/>
          <w:b/>
          <w:bCs/>
          <w:sz w:val="20"/>
          <w:szCs w:val="20"/>
          <w:lang w:val="en-US"/>
        </w:rPr>
        <w:t xml:space="preserve"> (eight million five hundred seventy three thousand nine hundred forty) new free shares, </w:t>
      </w:r>
      <w:r w:rsidRPr="00051497">
        <w:rPr>
          <w:rFonts w:asciiTheme="majorHAnsi" w:eastAsia="DaxlinePro-Light" w:hAnsiTheme="majorHAnsi" w:cstheme="majorHAnsi"/>
          <w:sz w:val="20"/>
          <w:szCs w:val="20"/>
          <w:lang w:val="en-US"/>
        </w:rPr>
        <w:t xml:space="preserve">each with a nominal value </w:t>
      </w:r>
      <w:r w:rsidRPr="00051497">
        <w:rPr>
          <w:rFonts w:asciiTheme="majorHAnsi" w:eastAsia="DaxlinePro-Light" w:hAnsiTheme="majorHAnsi" w:cstheme="majorHAnsi"/>
          <w:b/>
          <w:bCs/>
          <w:sz w:val="20"/>
          <w:szCs w:val="20"/>
          <w:lang w:val="en-US"/>
        </w:rPr>
        <w:t xml:space="preserve">of </w:t>
      </w:r>
      <w:r w:rsidRPr="00051497">
        <w:rPr>
          <w:rFonts w:asciiTheme="majorHAnsi" w:eastAsia="DaxlinePro-Light" w:hAnsiTheme="majorHAnsi" w:cstheme="majorHAnsi"/>
          <w:b/>
          <w:bCs/>
          <w:sz w:val="20"/>
          <w:szCs w:val="20"/>
          <w:lang w:val="ro-RO"/>
        </w:rPr>
        <w:t xml:space="preserve">0,4 </w:t>
      </w:r>
      <w:r w:rsidRPr="00051497">
        <w:rPr>
          <w:rFonts w:asciiTheme="majorHAnsi" w:eastAsia="DaxlinePro-Light" w:hAnsiTheme="majorHAnsi" w:cstheme="majorHAnsi"/>
          <w:b/>
          <w:bCs/>
          <w:sz w:val="20"/>
          <w:szCs w:val="20"/>
          <w:lang w:val="en-US"/>
        </w:rPr>
        <w:t>lei / share,</w:t>
      </w:r>
      <w:r w:rsidRPr="00051497">
        <w:rPr>
          <w:rFonts w:asciiTheme="majorHAnsi" w:eastAsia="DaxlinePro-Light" w:hAnsiTheme="majorHAnsi" w:cstheme="majorHAnsi"/>
          <w:sz w:val="20"/>
          <w:szCs w:val="20"/>
          <w:lang w:val="en-US"/>
        </w:rPr>
        <w:t xml:space="preserve"> in the benefit of all shareholders registered in the Register of Shareholders kept by the Central Depository on the </w:t>
      </w:r>
      <w:r w:rsidRPr="00051497">
        <w:rPr>
          <w:rFonts w:asciiTheme="majorHAnsi" w:eastAsia="DaxlinePro-Light" w:hAnsiTheme="majorHAnsi" w:cstheme="majorHAnsi"/>
          <w:b/>
          <w:bCs/>
          <w:sz w:val="20"/>
          <w:szCs w:val="20"/>
          <w:lang w:val="en-US"/>
        </w:rPr>
        <w:t>registration date</w:t>
      </w:r>
      <w:r w:rsidRPr="00051497">
        <w:rPr>
          <w:rFonts w:asciiTheme="majorHAnsi" w:eastAsia="DaxlinePro-Light" w:hAnsiTheme="majorHAnsi" w:cstheme="majorHAnsi"/>
          <w:sz w:val="20"/>
          <w:szCs w:val="20"/>
          <w:lang w:val="en-US"/>
        </w:rPr>
        <w:t xml:space="preserve"> established by the EGSM. The distribution of the newly issued shares will be made according to the formula - 1 (one) newly issued shares for each share already held. The increase of the share capital will be achieved by using the following sources:</w:t>
      </w:r>
    </w:p>
    <w:p w14:paraId="3F441968"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en-US"/>
        </w:rPr>
      </w:pPr>
    </w:p>
    <w:p w14:paraId="5C6A840A"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 capitalization of the amount of </w:t>
      </w:r>
      <w:r w:rsidRPr="00051497">
        <w:rPr>
          <w:rFonts w:asciiTheme="majorHAnsi" w:eastAsia="DaxlinePro-Light" w:hAnsiTheme="majorHAnsi" w:cstheme="majorHAnsi"/>
          <w:b/>
          <w:bCs/>
          <w:sz w:val="20"/>
          <w:szCs w:val="20"/>
          <w:u w:val="single"/>
          <w:lang w:val="en-US"/>
        </w:rPr>
        <w:t>3,429,576</w:t>
      </w:r>
      <w:r w:rsidRPr="00051497">
        <w:rPr>
          <w:rFonts w:asciiTheme="majorHAnsi" w:eastAsia="DaxlinePro-Light" w:hAnsiTheme="majorHAnsi" w:cstheme="majorHAnsi"/>
          <w:b/>
          <w:bCs/>
          <w:sz w:val="20"/>
          <w:szCs w:val="20"/>
          <w:lang w:val="en-US"/>
        </w:rPr>
        <w:t xml:space="preserve"> lei</w:t>
      </w:r>
      <w:r w:rsidRPr="00051497">
        <w:rPr>
          <w:rFonts w:asciiTheme="majorHAnsi" w:eastAsia="DaxlinePro-Light" w:hAnsiTheme="majorHAnsi" w:cstheme="majorHAnsi"/>
          <w:sz w:val="20"/>
          <w:szCs w:val="20"/>
          <w:lang w:val="en-US"/>
        </w:rPr>
        <w:t xml:space="preserve"> from the profit to be distributed related to year 2020.</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5DE927AA"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D5853B0"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408F81E5"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5C770AE0"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1E1232DC"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4A37B00"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1EB28B77"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429D0D40"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3B35D6E6"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en-US"/>
        </w:rPr>
      </w:pPr>
    </w:p>
    <w:p w14:paraId="1B81F924" w14:textId="77777777" w:rsidR="00051497" w:rsidRPr="00051497" w:rsidRDefault="00051497" w:rsidP="008F2152">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 2 special authorization of the Board of Directors to enact any decision and perform any acts and deeds necessary, useful and/or recommended for implementing the Share Capital Increase, as mentioned by point 1, including the following:</w:t>
      </w:r>
    </w:p>
    <w:p w14:paraId="643FADC5" w14:textId="77777777" w:rsidR="00051497" w:rsidRPr="00051497" w:rsidRDefault="00051497" w:rsidP="008F2152">
      <w:pPr>
        <w:widowControl w:val="0"/>
        <w:numPr>
          <w:ilvl w:val="0"/>
          <w:numId w:val="5"/>
        </w:numPr>
        <w:tabs>
          <w:tab w:val="left" w:pos="284"/>
          <w:tab w:val="left" w:pos="1276"/>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lastRenderedPageBreak/>
        <w:t xml:space="preserve">Setting forth and confirming the final amount of the Share Capital Increase, depending on the result of completion of the share capital increase made by private placement, and carried out in accordance with point 2 of the </w:t>
      </w:r>
      <w:r w:rsidRPr="00051497">
        <w:rPr>
          <w:rFonts w:asciiTheme="majorHAnsi" w:eastAsia="DaxlinePro-Light" w:hAnsiTheme="majorHAnsi" w:cstheme="majorHAnsi"/>
          <w:b/>
          <w:bCs/>
          <w:sz w:val="20"/>
          <w:szCs w:val="20"/>
          <w:lang w:val="en-US"/>
        </w:rPr>
        <w:t xml:space="preserve">Resolution of the Extraordinary Shareholder Meeting of </w:t>
      </w:r>
      <w:proofErr w:type="spellStart"/>
      <w:r w:rsidRPr="00051497">
        <w:rPr>
          <w:rFonts w:asciiTheme="majorHAnsi" w:eastAsia="DaxlinePro-Light" w:hAnsiTheme="majorHAnsi" w:cstheme="majorHAnsi"/>
          <w:b/>
          <w:bCs/>
          <w:sz w:val="20"/>
          <w:szCs w:val="20"/>
          <w:lang w:val="en-US"/>
        </w:rPr>
        <w:t>Norofert</w:t>
      </w:r>
      <w:proofErr w:type="spellEnd"/>
      <w:r w:rsidRPr="00051497">
        <w:rPr>
          <w:rFonts w:asciiTheme="majorHAnsi" w:eastAsia="DaxlinePro-Light" w:hAnsiTheme="majorHAnsi" w:cstheme="majorHAnsi"/>
          <w:b/>
          <w:bCs/>
          <w:sz w:val="20"/>
          <w:szCs w:val="20"/>
          <w:lang w:val="en-US"/>
        </w:rPr>
        <w:t xml:space="preserve"> S.A. dated as of </w:t>
      </w:r>
      <w:proofErr w:type="gramStart"/>
      <w:r w:rsidRPr="00051497">
        <w:rPr>
          <w:rFonts w:asciiTheme="majorHAnsi" w:eastAsia="DaxlinePro-Light" w:hAnsiTheme="majorHAnsi" w:cstheme="majorHAnsi"/>
          <w:b/>
          <w:bCs/>
          <w:sz w:val="20"/>
          <w:szCs w:val="20"/>
          <w:lang w:val="en-US"/>
        </w:rPr>
        <w:t>24.11.2020;</w:t>
      </w:r>
      <w:proofErr w:type="gramEnd"/>
    </w:p>
    <w:p w14:paraId="79FA5AA5" w14:textId="77777777" w:rsidR="00051497" w:rsidRPr="00051497" w:rsidRDefault="00051497" w:rsidP="008F2152">
      <w:pPr>
        <w:widowControl w:val="0"/>
        <w:numPr>
          <w:ilvl w:val="0"/>
          <w:numId w:val="5"/>
        </w:numPr>
        <w:tabs>
          <w:tab w:val="left" w:pos="284"/>
          <w:tab w:val="left" w:pos="1276"/>
        </w:tabs>
        <w:ind w:left="284" w:hanging="284"/>
        <w:jc w:val="both"/>
        <w:rPr>
          <w:rFonts w:asciiTheme="majorHAnsi" w:eastAsia="DaxlinePro-Light" w:hAnsiTheme="majorHAnsi" w:cstheme="majorHAnsi"/>
          <w:sz w:val="20"/>
          <w:szCs w:val="20"/>
          <w:lang w:val="en"/>
        </w:rPr>
      </w:pPr>
      <w:r w:rsidRPr="00051497">
        <w:rPr>
          <w:rFonts w:asciiTheme="majorHAnsi" w:eastAsia="DaxlinePro-Light" w:hAnsiTheme="majorHAnsi" w:cstheme="majorHAnsi"/>
          <w:sz w:val="20"/>
          <w:szCs w:val="20"/>
          <w:lang w:val="en"/>
        </w:rPr>
        <w:t>ensuring listing on the SMT-</w:t>
      </w:r>
      <w:proofErr w:type="spellStart"/>
      <w:r w:rsidRPr="00051497">
        <w:rPr>
          <w:rFonts w:asciiTheme="majorHAnsi" w:eastAsia="DaxlinePro-Light" w:hAnsiTheme="majorHAnsi" w:cstheme="majorHAnsi"/>
          <w:sz w:val="20"/>
          <w:szCs w:val="20"/>
          <w:lang w:val="en"/>
        </w:rPr>
        <w:t>AeRo</w:t>
      </w:r>
      <w:proofErr w:type="spellEnd"/>
      <w:r w:rsidRPr="00051497">
        <w:rPr>
          <w:rFonts w:asciiTheme="majorHAnsi" w:eastAsia="DaxlinePro-Light" w:hAnsiTheme="majorHAnsi" w:cstheme="majorHAnsi"/>
          <w:sz w:val="20"/>
          <w:szCs w:val="20"/>
          <w:lang w:val="en"/>
        </w:rPr>
        <w:t xml:space="preserve"> Multilateral Trading System of the newly issued shares and update of the Articles of Association in order to reflect the new share capital of the Company following completion of the Share Capital </w:t>
      </w:r>
      <w:proofErr w:type="gramStart"/>
      <w:r w:rsidRPr="00051497">
        <w:rPr>
          <w:rFonts w:asciiTheme="majorHAnsi" w:eastAsia="DaxlinePro-Light" w:hAnsiTheme="majorHAnsi" w:cstheme="majorHAnsi"/>
          <w:sz w:val="20"/>
          <w:szCs w:val="20"/>
          <w:lang w:val="en"/>
        </w:rPr>
        <w:t>Increase;</w:t>
      </w:r>
      <w:proofErr w:type="gramEnd"/>
    </w:p>
    <w:p w14:paraId="1474645B" w14:textId="77777777" w:rsidR="00051497" w:rsidRPr="00051497" w:rsidRDefault="00051497" w:rsidP="008F2152">
      <w:pPr>
        <w:widowControl w:val="0"/>
        <w:numPr>
          <w:ilvl w:val="0"/>
          <w:numId w:val="5"/>
        </w:numPr>
        <w:tabs>
          <w:tab w:val="left" w:pos="284"/>
          <w:tab w:val="left" w:pos="1276"/>
        </w:tabs>
        <w:ind w:left="284" w:hanging="284"/>
        <w:jc w:val="both"/>
        <w:rPr>
          <w:rFonts w:asciiTheme="majorHAnsi" w:eastAsia="DaxlinePro-Light" w:hAnsiTheme="majorHAnsi" w:cstheme="majorHAnsi"/>
          <w:sz w:val="20"/>
          <w:szCs w:val="20"/>
          <w:lang w:val="en"/>
        </w:rPr>
      </w:pPr>
      <w:r w:rsidRPr="00051497">
        <w:rPr>
          <w:rFonts w:asciiTheme="majorHAnsi" w:eastAsia="DaxlinePro-Light" w:hAnsiTheme="majorHAnsi" w:cstheme="majorHAnsi"/>
          <w:sz w:val="20"/>
          <w:szCs w:val="20"/>
          <w:lang w:val="en"/>
        </w:rPr>
        <w:t xml:space="preserve">approving and executing any documents related to the Share Capital Increase, including any certificates, statements, registers, notifications, addendums and any other acts and documents that are necessary, </w:t>
      </w:r>
      <w:proofErr w:type="gramStart"/>
      <w:r w:rsidRPr="00051497">
        <w:rPr>
          <w:rFonts w:asciiTheme="majorHAnsi" w:eastAsia="DaxlinePro-Light" w:hAnsiTheme="majorHAnsi" w:cstheme="majorHAnsi"/>
          <w:sz w:val="20"/>
          <w:szCs w:val="20"/>
          <w:lang w:val="en"/>
        </w:rPr>
        <w:t>in order to</w:t>
      </w:r>
      <w:proofErr w:type="gramEnd"/>
      <w:r w:rsidRPr="00051497">
        <w:rPr>
          <w:rFonts w:asciiTheme="majorHAnsi" w:eastAsia="DaxlinePro-Light" w:hAnsiTheme="majorHAnsi" w:cstheme="majorHAnsi"/>
          <w:sz w:val="20"/>
          <w:szCs w:val="20"/>
          <w:lang w:val="en"/>
        </w:rPr>
        <w:t xml:space="preserve"> fulfill any formalities and authorization and / or execution any other actions that are necessary in order to grant full effects to the Share Capital Increase; and</w:t>
      </w:r>
    </w:p>
    <w:p w14:paraId="7517A22A" w14:textId="411D30BB" w:rsidR="00051497" w:rsidRPr="003551E8" w:rsidRDefault="00051497" w:rsidP="008F2152">
      <w:pPr>
        <w:widowControl w:val="0"/>
        <w:numPr>
          <w:ilvl w:val="0"/>
          <w:numId w:val="5"/>
        </w:numPr>
        <w:tabs>
          <w:tab w:val="left" w:pos="284"/>
          <w:tab w:val="left" w:pos="1276"/>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
        </w:rPr>
        <w:t xml:space="preserve">representing the Company before any competent authorities and institutions (such as the Trade Register Office, FSA, BVB, the Central Depository, etc.) </w:t>
      </w:r>
      <w:proofErr w:type="gramStart"/>
      <w:r w:rsidRPr="00051497">
        <w:rPr>
          <w:rFonts w:asciiTheme="majorHAnsi" w:eastAsia="DaxlinePro-Light" w:hAnsiTheme="majorHAnsi" w:cstheme="majorHAnsi"/>
          <w:sz w:val="20"/>
          <w:szCs w:val="20"/>
          <w:lang w:val="en"/>
        </w:rPr>
        <w:t>in order to</w:t>
      </w:r>
      <w:proofErr w:type="gramEnd"/>
      <w:r w:rsidRPr="00051497">
        <w:rPr>
          <w:rFonts w:asciiTheme="majorHAnsi" w:eastAsia="DaxlinePro-Light" w:hAnsiTheme="majorHAnsi" w:cstheme="majorHAnsi"/>
          <w:sz w:val="20"/>
          <w:szCs w:val="20"/>
          <w:lang w:val="en"/>
        </w:rPr>
        <w:t xml:space="preserve"> register the Share Capital Increase.</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24874498"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6B51521"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0BF84DCF"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4FCDC83A"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1E1A08E0"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45F47CB"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06522904"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18FC3215" w14:textId="77777777" w:rsidR="00051497" w:rsidRPr="00051497" w:rsidRDefault="00051497" w:rsidP="008F2152">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67D34A85"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en-US"/>
        </w:rPr>
      </w:pPr>
    </w:p>
    <w:p w14:paraId="2FDEC5A8" w14:textId="77777777" w:rsidR="00051497" w:rsidRPr="00051497" w:rsidRDefault="00051497" w:rsidP="003551E8">
      <w:pPr>
        <w:widowControl w:val="0"/>
        <w:numPr>
          <w:ilvl w:val="0"/>
          <w:numId w:val="1"/>
        </w:numPr>
        <w:tabs>
          <w:tab w:val="left" w:pos="0"/>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 3  a</w:t>
      </w:r>
      <w:proofErr w:type="spellStart"/>
      <w:r w:rsidRPr="00051497">
        <w:rPr>
          <w:rFonts w:asciiTheme="majorHAnsi" w:eastAsia="DaxlinePro-Light" w:hAnsiTheme="majorHAnsi" w:cstheme="majorHAnsi"/>
          <w:sz w:val="20"/>
          <w:szCs w:val="20"/>
          <w:lang w:val="en"/>
        </w:rPr>
        <w:t>pproval</w:t>
      </w:r>
      <w:proofErr w:type="spellEnd"/>
      <w:r w:rsidRPr="00051497">
        <w:rPr>
          <w:rFonts w:asciiTheme="majorHAnsi" w:eastAsia="DaxlinePro-Light" w:hAnsiTheme="majorHAnsi" w:cstheme="majorHAnsi"/>
          <w:sz w:val="20"/>
          <w:szCs w:val="20"/>
          <w:lang w:val="en"/>
        </w:rPr>
        <w:t xml:space="preserve"> of the purchase of a number of shares representing 100% of the share capital of AGROPROD CEV S.R.L., a limited liability company having its registered office in </w:t>
      </w:r>
      <w:proofErr w:type="spellStart"/>
      <w:r w:rsidRPr="00051497">
        <w:rPr>
          <w:rFonts w:asciiTheme="majorHAnsi" w:eastAsia="DaxlinePro-Light" w:hAnsiTheme="majorHAnsi" w:cstheme="majorHAnsi"/>
          <w:sz w:val="20"/>
          <w:szCs w:val="20"/>
          <w:lang w:val="en"/>
        </w:rPr>
        <w:t>Zimnicea</w:t>
      </w:r>
      <w:proofErr w:type="spellEnd"/>
      <w:r w:rsidRPr="00051497">
        <w:rPr>
          <w:rFonts w:asciiTheme="majorHAnsi" w:eastAsia="DaxlinePro-Light" w:hAnsiTheme="majorHAnsi" w:cstheme="majorHAnsi"/>
          <w:sz w:val="20"/>
          <w:szCs w:val="20"/>
          <w:lang w:val="en"/>
        </w:rPr>
        <w:t xml:space="preserve">, 21 </w:t>
      </w:r>
      <w:proofErr w:type="spellStart"/>
      <w:r w:rsidRPr="00051497">
        <w:rPr>
          <w:rFonts w:asciiTheme="majorHAnsi" w:eastAsia="DaxlinePro-Light" w:hAnsiTheme="majorHAnsi" w:cstheme="majorHAnsi"/>
          <w:sz w:val="20"/>
          <w:szCs w:val="20"/>
          <w:lang w:val="en"/>
        </w:rPr>
        <w:t>Zorilor</w:t>
      </w:r>
      <w:proofErr w:type="spellEnd"/>
      <w:r w:rsidRPr="00051497">
        <w:rPr>
          <w:rFonts w:asciiTheme="majorHAnsi" w:eastAsia="DaxlinePro-Light" w:hAnsiTheme="majorHAnsi" w:cstheme="majorHAnsi"/>
          <w:sz w:val="20"/>
          <w:szCs w:val="20"/>
          <w:lang w:val="en"/>
        </w:rPr>
        <w:t xml:space="preserve"> Street, </w:t>
      </w:r>
      <w:proofErr w:type="spellStart"/>
      <w:r w:rsidRPr="00051497">
        <w:rPr>
          <w:rFonts w:asciiTheme="majorHAnsi" w:eastAsia="DaxlinePro-Light" w:hAnsiTheme="majorHAnsi" w:cstheme="majorHAnsi"/>
          <w:sz w:val="20"/>
          <w:szCs w:val="20"/>
          <w:lang w:val="en"/>
        </w:rPr>
        <w:t>Teleorman</w:t>
      </w:r>
      <w:proofErr w:type="spellEnd"/>
      <w:r w:rsidRPr="00051497">
        <w:rPr>
          <w:rFonts w:asciiTheme="majorHAnsi" w:eastAsia="DaxlinePro-Light" w:hAnsiTheme="majorHAnsi" w:cstheme="majorHAnsi"/>
          <w:sz w:val="20"/>
          <w:szCs w:val="20"/>
          <w:lang w:val="en"/>
        </w:rPr>
        <w:t xml:space="preserve"> county, registered with the Trade Register Office under the </w:t>
      </w:r>
      <w:proofErr w:type="spellStart"/>
      <w:r w:rsidRPr="00051497">
        <w:rPr>
          <w:rFonts w:asciiTheme="majorHAnsi" w:eastAsia="DaxlinePro-Light" w:hAnsiTheme="majorHAnsi" w:cstheme="majorHAnsi"/>
          <w:sz w:val="20"/>
          <w:szCs w:val="20"/>
          <w:lang w:val="en"/>
        </w:rPr>
        <w:t>Teleorman</w:t>
      </w:r>
      <w:proofErr w:type="spellEnd"/>
      <w:r w:rsidRPr="00051497">
        <w:rPr>
          <w:rFonts w:asciiTheme="majorHAnsi" w:eastAsia="DaxlinePro-Light" w:hAnsiTheme="majorHAnsi" w:cstheme="majorHAnsi"/>
          <w:sz w:val="20"/>
          <w:szCs w:val="20"/>
          <w:lang w:val="en"/>
        </w:rPr>
        <w:t xml:space="preserve"> Tribunal under no. J34/155/2006, having sole fiscal registration no. RO 18469094, in accordance with the provisions of the Bilateral Share Promissory Assignment Agreement, certified by Lawyer Bianca Banu under no. 28/05.03.2021. The purchase price amounts to </w:t>
      </w:r>
      <w:r w:rsidRPr="00051497">
        <w:rPr>
          <w:rFonts w:asciiTheme="majorHAnsi" w:eastAsia="DaxlinePro-Light" w:hAnsiTheme="majorHAnsi" w:cstheme="majorHAnsi"/>
          <w:b/>
          <w:bCs/>
          <w:sz w:val="20"/>
          <w:szCs w:val="20"/>
          <w:lang w:val="en"/>
        </w:rPr>
        <w:t>1,880,000 (one million eight hundred and eighty thousand) EURO</w:t>
      </w:r>
      <w:r w:rsidRPr="00051497">
        <w:rPr>
          <w:rFonts w:asciiTheme="majorHAnsi" w:eastAsia="DaxlinePro-Light" w:hAnsiTheme="majorHAnsi" w:cstheme="majorHAnsi"/>
          <w:sz w:val="20"/>
          <w:szCs w:val="20"/>
          <w:lang w:val="en"/>
        </w:rPr>
        <w:t xml:space="preserve"> that is to be paid in accordance with the provisions of the Bilateral Share Promissory Assignment Agreement, certified by Lawyer Bianca Banu under no. 28/05.03.2021, in cash, by bank transfer</w:t>
      </w:r>
      <w:r w:rsidRPr="00051497">
        <w:rPr>
          <w:rFonts w:asciiTheme="majorHAnsi" w:eastAsia="DaxlinePro-Light" w:hAnsiTheme="majorHAnsi" w:cstheme="majorHAnsi"/>
          <w:sz w:val="20"/>
          <w:szCs w:val="20"/>
          <w:lang w:val="ro-RO"/>
        </w:rPr>
        <w:t>.</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652811C6"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05182BE"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22117C28"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13D4C8CD"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55BAF775"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D3EC6B3"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7C599ED6"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152F6178"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00B42C8F"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en-US"/>
        </w:rPr>
      </w:pPr>
    </w:p>
    <w:p w14:paraId="1B1E1064" w14:textId="77777777" w:rsidR="00051497" w:rsidRPr="00051497" w:rsidRDefault="00051497" w:rsidP="003551E8">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 4 </w:t>
      </w:r>
      <w:r w:rsidRPr="00051497">
        <w:rPr>
          <w:rFonts w:asciiTheme="majorHAnsi" w:eastAsia="DaxlinePro-Light" w:hAnsiTheme="majorHAnsi" w:cstheme="majorHAnsi"/>
          <w:sz w:val="20"/>
          <w:szCs w:val="20"/>
          <w:lang w:val="en"/>
        </w:rPr>
        <w:t>approval of the winding up, liquidation and deregistration of the company NOROFERT ORGANICS S.R.L., a limited liability company, having its registered office in Bucharest, 6</w:t>
      </w:r>
      <w:r w:rsidRPr="00051497">
        <w:rPr>
          <w:rFonts w:asciiTheme="majorHAnsi" w:eastAsia="DaxlinePro-Light" w:hAnsiTheme="majorHAnsi" w:cstheme="majorHAnsi"/>
          <w:sz w:val="20"/>
          <w:szCs w:val="20"/>
          <w:vertAlign w:val="superscript"/>
          <w:lang w:val="en"/>
        </w:rPr>
        <w:t>th</w:t>
      </w:r>
      <w:r w:rsidRPr="00051497">
        <w:rPr>
          <w:rFonts w:asciiTheme="majorHAnsi" w:eastAsia="DaxlinePro-Light" w:hAnsiTheme="majorHAnsi" w:cstheme="majorHAnsi"/>
          <w:sz w:val="20"/>
          <w:szCs w:val="20"/>
          <w:lang w:val="en"/>
        </w:rPr>
        <w:t xml:space="preserve"> district, 2 </w:t>
      </w:r>
      <w:proofErr w:type="spellStart"/>
      <w:r w:rsidRPr="00051497">
        <w:rPr>
          <w:rFonts w:asciiTheme="majorHAnsi" w:eastAsia="DaxlinePro-Light" w:hAnsiTheme="majorHAnsi" w:cstheme="majorHAnsi"/>
          <w:sz w:val="20"/>
          <w:szCs w:val="20"/>
          <w:lang w:val="en"/>
        </w:rPr>
        <w:t>Crinul</w:t>
      </w:r>
      <w:proofErr w:type="spellEnd"/>
      <w:r w:rsidRPr="00051497">
        <w:rPr>
          <w:rFonts w:asciiTheme="majorHAnsi" w:eastAsia="DaxlinePro-Light" w:hAnsiTheme="majorHAnsi" w:cstheme="majorHAnsi"/>
          <w:sz w:val="20"/>
          <w:szCs w:val="20"/>
          <w:lang w:val="en"/>
        </w:rPr>
        <w:t xml:space="preserve"> de </w:t>
      </w:r>
      <w:proofErr w:type="spellStart"/>
      <w:r w:rsidRPr="00051497">
        <w:rPr>
          <w:rFonts w:asciiTheme="majorHAnsi" w:eastAsia="DaxlinePro-Light" w:hAnsiTheme="majorHAnsi" w:cstheme="majorHAnsi"/>
          <w:sz w:val="20"/>
          <w:szCs w:val="20"/>
          <w:lang w:val="en"/>
        </w:rPr>
        <w:t>Padure</w:t>
      </w:r>
      <w:proofErr w:type="spellEnd"/>
      <w:r w:rsidRPr="00051497">
        <w:rPr>
          <w:rFonts w:asciiTheme="majorHAnsi" w:eastAsia="DaxlinePro-Light" w:hAnsiTheme="majorHAnsi" w:cstheme="majorHAnsi"/>
          <w:sz w:val="20"/>
          <w:szCs w:val="20"/>
          <w:lang w:val="en"/>
        </w:rPr>
        <w:t xml:space="preserve"> Street, ground floor, room 3, office 4, block F2, entrance A, apt. 2, registered with the Trade Register Office under the Bucharest Tribunal under no. J40/14744/2017, CUI 38131402, company in which NOROFERT S.A. holds a 99% participation. The Board of Directors is mandated to establish the manner and procedure suitable from an economic and legal point of view for carrying out the winding up and liquidation operations, which will be carried out the latest during the 4th trimester of 2021.</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1BCB9B95"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B6786C5"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7DAA32FB"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0572AFB6"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03BE608A"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D1C5B06"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73DCE259"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7BE46332"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398A4CD9" w14:textId="49E3320C" w:rsid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en-US"/>
        </w:rPr>
      </w:pPr>
    </w:p>
    <w:p w14:paraId="2C03C6C2" w14:textId="77777777" w:rsidR="00051497" w:rsidRPr="00051497" w:rsidRDefault="00051497" w:rsidP="00051497">
      <w:pPr>
        <w:widowControl w:val="0"/>
        <w:tabs>
          <w:tab w:val="left" w:pos="360"/>
        </w:tabs>
        <w:ind w:left="426" w:hanging="426"/>
        <w:jc w:val="both"/>
        <w:rPr>
          <w:rFonts w:asciiTheme="majorHAnsi" w:eastAsia="DaxlinePro-Light" w:hAnsiTheme="majorHAnsi" w:cstheme="majorHAnsi"/>
          <w:sz w:val="20"/>
          <w:szCs w:val="20"/>
          <w:lang w:val="en-US"/>
        </w:rPr>
      </w:pPr>
    </w:p>
    <w:p w14:paraId="09B2FBF3" w14:textId="77777777" w:rsidR="00051497" w:rsidRPr="00051497" w:rsidRDefault="00051497" w:rsidP="003551E8">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no.5 </w:t>
      </w:r>
      <w:r w:rsidRPr="00051497">
        <w:rPr>
          <w:rFonts w:asciiTheme="majorHAnsi" w:eastAsia="DaxlinePro-Light" w:hAnsiTheme="majorHAnsi" w:cstheme="majorHAnsi"/>
          <w:sz w:val="20"/>
          <w:szCs w:val="20"/>
          <w:lang w:val="en"/>
        </w:rPr>
        <w:t xml:space="preserve">ratifying and approval of the investment credit amounting to 1,300,000 (one million three hundred thousand) LEI, contracted by the Company, granted by Banca </w:t>
      </w:r>
      <w:proofErr w:type="spellStart"/>
      <w:r w:rsidRPr="00051497">
        <w:rPr>
          <w:rFonts w:asciiTheme="majorHAnsi" w:eastAsia="DaxlinePro-Light" w:hAnsiTheme="majorHAnsi" w:cstheme="majorHAnsi"/>
          <w:sz w:val="20"/>
          <w:szCs w:val="20"/>
          <w:lang w:val="en"/>
        </w:rPr>
        <w:t>Romaneasca</w:t>
      </w:r>
      <w:proofErr w:type="spellEnd"/>
      <w:r w:rsidRPr="00051497">
        <w:rPr>
          <w:rFonts w:asciiTheme="majorHAnsi" w:eastAsia="DaxlinePro-Light" w:hAnsiTheme="majorHAnsi" w:cstheme="majorHAnsi"/>
          <w:sz w:val="20"/>
          <w:szCs w:val="20"/>
          <w:lang w:val="en"/>
        </w:rPr>
        <w:t xml:space="preserve"> SA, within the IMM Invest program, as well as the approval of guaranteeing by the Company of the financial obligations resulting from contracting the loan, with movable mortgage guarantee on the existing fixed assets owned by the company, even if their value exceeds, during a financial year, 20% of the total fixed assets, as they were requested / approved by the creditor bank in order to guarantee the loan.</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4A7C7664"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27847F5"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4B6D6210"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3E57D468"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2312CD2A"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3D6C7A7"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01B605AC"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3F044D35"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235585BF" w14:textId="5D46432E" w:rsid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en-US"/>
        </w:rPr>
      </w:pPr>
    </w:p>
    <w:p w14:paraId="6B8C14A6"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en-US"/>
        </w:rPr>
      </w:pPr>
    </w:p>
    <w:p w14:paraId="22F8C0C9" w14:textId="77777777" w:rsidR="00051497" w:rsidRPr="00051497" w:rsidRDefault="00051497" w:rsidP="003551E8">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 6 </w:t>
      </w:r>
      <w:r w:rsidRPr="00051497">
        <w:rPr>
          <w:rFonts w:asciiTheme="majorHAnsi" w:eastAsia="DaxlinePro-Light" w:hAnsiTheme="majorHAnsi" w:cstheme="majorHAnsi"/>
          <w:sz w:val="20"/>
          <w:szCs w:val="20"/>
          <w:lang w:val="en"/>
        </w:rPr>
        <w:t xml:space="preserve">approval of contracting by the Company, as a debtor, of certain loans (credit lines, factoring, </w:t>
      </w:r>
      <w:r w:rsidRPr="00051497">
        <w:rPr>
          <w:rFonts w:asciiTheme="majorHAnsi" w:eastAsia="DaxlinePro-Light" w:hAnsiTheme="majorHAnsi" w:cstheme="majorHAnsi"/>
          <w:sz w:val="20"/>
          <w:szCs w:val="20"/>
          <w:lang w:val="en"/>
        </w:rPr>
        <w:lastRenderedPageBreak/>
        <w:t xml:space="preserve">working capital, leasing, etc.), in the maximum amount of 32,000,000 (thirty-two million) LEI, from banking institutions, credit institutions and / or other banking or non-banking financial institutions, or any other institutions permitted by law, as well as the approval of granting guarantees by the Company for its financial obligations resulting from contracting said loans, including by granting immovable or movable mortgages on the company's assets (real estate, fixed assets, receivables, insurance policies, etc.), as they will be requested / agreed by the crediting entities in order to grant the loans. The Board of Directors is mandated </w:t>
      </w:r>
      <w:proofErr w:type="gramStart"/>
      <w:r w:rsidRPr="00051497">
        <w:rPr>
          <w:rFonts w:asciiTheme="majorHAnsi" w:eastAsia="DaxlinePro-Light" w:hAnsiTheme="majorHAnsi" w:cstheme="majorHAnsi"/>
          <w:sz w:val="20"/>
          <w:szCs w:val="20"/>
          <w:lang w:val="en"/>
        </w:rPr>
        <w:t>in order to</w:t>
      </w:r>
      <w:proofErr w:type="gramEnd"/>
      <w:r w:rsidRPr="00051497">
        <w:rPr>
          <w:rFonts w:asciiTheme="majorHAnsi" w:eastAsia="DaxlinePro-Light" w:hAnsiTheme="majorHAnsi" w:cstheme="majorHAnsi"/>
          <w:sz w:val="20"/>
          <w:szCs w:val="20"/>
          <w:lang w:val="en"/>
        </w:rPr>
        <w:t xml:space="preserve"> negotiate with full powers and contract the loans within the aforementioned indebtedness limit, as well as in order to negotiate and grant the guarantees related to the loans, as they will be requested / agreed by the crediting entities. The power of attorney thus granted is also valid for concluding any altering addendums and/or supplementation addendums of the granted loans.</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57E4BD8E"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C08B50A"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35160831"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29450530"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2D96A852"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D48D67C"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6E595472"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74098DED"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07C428EF"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en-US"/>
        </w:rPr>
      </w:pPr>
    </w:p>
    <w:p w14:paraId="0B6315D2" w14:textId="77777777" w:rsidR="00051497" w:rsidRPr="00051497" w:rsidRDefault="00051497" w:rsidP="003551E8">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 7 approval, for the above capital increase operation</w:t>
      </w:r>
      <w:r w:rsidRPr="00051497">
        <w:rPr>
          <w:rFonts w:asciiTheme="majorHAnsi" w:eastAsia="DaxlinePro-Light" w:hAnsiTheme="majorHAnsi" w:cstheme="majorHAnsi"/>
          <w:b/>
          <w:bCs/>
          <w:sz w:val="20"/>
          <w:szCs w:val="20"/>
          <w:lang w:val="en-US"/>
        </w:rPr>
        <w:t>, of the registration date (proposal: 19.08.2021), of the ex-date date (proposal: 18.08.2021) and of the payment date (proposal: 20.08.2021</w:t>
      </w:r>
      <w:r w:rsidRPr="00051497">
        <w:rPr>
          <w:rFonts w:asciiTheme="majorHAnsi" w:eastAsia="DaxlinePro-Light" w:hAnsiTheme="majorHAnsi" w:cstheme="majorHAnsi"/>
          <w:sz w:val="20"/>
          <w:szCs w:val="20"/>
          <w:lang w:val="en-US"/>
        </w:rPr>
        <w:t>).</w:t>
      </w: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780F2C6C"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348C738"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4A0F9672"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530B6ADB"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47DAC2EF"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9281568"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11CA1F76"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12259BE8"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2E7538BF"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en-US"/>
        </w:rPr>
      </w:pPr>
    </w:p>
    <w:p w14:paraId="620EBCC5" w14:textId="77777777" w:rsidR="00051497" w:rsidRPr="00051497" w:rsidRDefault="00051497" w:rsidP="003551E8">
      <w:pPr>
        <w:widowControl w:val="0"/>
        <w:numPr>
          <w:ilvl w:val="0"/>
          <w:numId w:val="1"/>
        </w:numPr>
        <w:tabs>
          <w:tab w:val="left" w:pos="284"/>
        </w:tabs>
        <w:ind w:left="284" w:hanging="284"/>
        <w:jc w:val="both"/>
        <w:rPr>
          <w:rFonts w:asciiTheme="majorHAnsi" w:eastAsia="DaxlinePro-Light" w:hAnsiTheme="majorHAnsi" w:cstheme="majorHAnsi"/>
          <w:sz w:val="20"/>
          <w:szCs w:val="20"/>
          <w:lang w:val="en-US"/>
        </w:rPr>
      </w:pPr>
      <w:r w:rsidRPr="00051497">
        <w:rPr>
          <w:rFonts w:asciiTheme="majorHAnsi" w:eastAsia="DaxlinePro-Light" w:hAnsiTheme="majorHAnsi" w:cstheme="majorHAnsi"/>
          <w:sz w:val="20"/>
          <w:szCs w:val="20"/>
          <w:lang w:val="en-US"/>
        </w:rPr>
        <w:t xml:space="preserve">For agenda </w:t>
      </w:r>
      <w:proofErr w:type="spellStart"/>
      <w:r w:rsidRPr="00051497">
        <w:rPr>
          <w:rFonts w:asciiTheme="majorHAnsi" w:eastAsia="DaxlinePro-Light" w:hAnsiTheme="majorHAnsi" w:cstheme="majorHAnsi"/>
          <w:sz w:val="20"/>
          <w:szCs w:val="20"/>
          <w:lang w:val="en-US"/>
        </w:rPr>
        <w:t>intem</w:t>
      </w:r>
      <w:proofErr w:type="spellEnd"/>
      <w:r w:rsidRPr="00051497">
        <w:rPr>
          <w:rFonts w:asciiTheme="majorHAnsi" w:eastAsia="DaxlinePro-Light" w:hAnsiTheme="majorHAnsi" w:cstheme="majorHAnsi"/>
          <w:sz w:val="20"/>
          <w:szCs w:val="20"/>
          <w:lang w:val="en-US"/>
        </w:rPr>
        <w:t xml:space="preserve"> no. 8 authorization and empowerment of the Chairman of the Board of Directors of the Company, with the right of substitution / sub delegation, in order to sign any documents (including EGSM decisions and updated articles of incorporation of the Company that reflect the amendments approved according to the decisions of ordinary and extraordinary general meetings of 26/27 April, 2021) and to undertake any necessary formalities in order to implement, submit, register and publish the EGSM decisions and / or the operations approved by it, including the representation of the Company before any authorities for this purpose.</w:t>
      </w:r>
    </w:p>
    <w:p w14:paraId="6A6CB30C"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b/>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051497" w:rsidRPr="00051497" w14:paraId="4118E664" w14:textId="77777777" w:rsidTr="008656B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71DB943"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FOR</w:t>
            </w:r>
          </w:p>
        </w:tc>
        <w:tc>
          <w:tcPr>
            <w:tcW w:w="1439" w:type="dxa"/>
            <w:tcBorders>
              <w:top w:val="single" w:sz="4" w:space="0" w:color="000000"/>
              <w:left w:val="nil"/>
              <w:bottom w:val="single" w:sz="4" w:space="0" w:color="000000"/>
              <w:right w:val="single" w:sz="4" w:space="0" w:color="000000"/>
            </w:tcBorders>
            <w:vAlign w:val="bottom"/>
          </w:tcPr>
          <w:p w14:paraId="7A591A60"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AGAINST</w:t>
            </w:r>
          </w:p>
        </w:tc>
        <w:tc>
          <w:tcPr>
            <w:tcW w:w="1359" w:type="dxa"/>
            <w:tcBorders>
              <w:top w:val="single" w:sz="4" w:space="0" w:color="000000"/>
              <w:left w:val="nil"/>
              <w:bottom w:val="single" w:sz="4" w:space="0" w:color="000000"/>
              <w:right w:val="single" w:sz="4" w:space="0" w:color="000000"/>
            </w:tcBorders>
            <w:vAlign w:val="bottom"/>
          </w:tcPr>
          <w:p w14:paraId="4755C950"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ABSTENTION</w:t>
            </w:r>
          </w:p>
        </w:tc>
      </w:tr>
      <w:tr w:rsidR="00051497" w:rsidRPr="00051497" w14:paraId="7E726ED0" w14:textId="77777777" w:rsidTr="008656B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34B6C7B"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439" w:type="dxa"/>
            <w:tcBorders>
              <w:top w:val="nil"/>
              <w:left w:val="nil"/>
              <w:bottom w:val="single" w:sz="4" w:space="0" w:color="000000"/>
              <w:right w:val="single" w:sz="4" w:space="0" w:color="000000"/>
            </w:tcBorders>
            <w:vAlign w:val="bottom"/>
          </w:tcPr>
          <w:p w14:paraId="2F8DA8F0"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c>
          <w:tcPr>
            <w:tcW w:w="1359" w:type="dxa"/>
            <w:tcBorders>
              <w:top w:val="nil"/>
              <w:left w:val="nil"/>
              <w:bottom w:val="single" w:sz="4" w:space="0" w:color="000000"/>
              <w:right w:val="single" w:sz="4" w:space="0" w:color="000000"/>
            </w:tcBorders>
            <w:vAlign w:val="bottom"/>
          </w:tcPr>
          <w:p w14:paraId="6896DB92" w14:textId="77777777" w:rsidR="00051497" w:rsidRPr="00051497" w:rsidRDefault="00051497" w:rsidP="003551E8">
            <w:pPr>
              <w:widowControl w:val="0"/>
              <w:tabs>
                <w:tab w:val="left" w:pos="284"/>
              </w:tabs>
              <w:ind w:left="284" w:hanging="284"/>
              <w:jc w:val="both"/>
              <w:rPr>
                <w:rFonts w:asciiTheme="majorHAnsi" w:eastAsia="DaxlinePro-Light" w:hAnsiTheme="majorHAnsi" w:cstheme="majorHAnsi"/>
                <w:sz w:val="20"/>
                <w:szCs w:val="20"/>
                <w:lang w:val="ro-RO"/>
              </w:rPr>
            </w:pPr>
            <w:r w:rsidRPr="00051497">
              <w:rPr>
                <w:rFonts w:asciiTheme="majorHAnsi" w:eastAsia="DaxlinePro-Light" w:hAnsiTheme="majorHAnsi" w:cstheme="majorHAnsi"/>
                <w:sz w:val="20"/>
                <w:szCs w:val="20"/>
                <w:lang w:val="ro-RO"/>
              </w:rPr>
              <w:t> </w:t>
            </w:r>
          </w:p>
        </w:tc>
      </w:tr>
    </w:tbl>
    <w:p w14:paraId="19152B0E" w14:textId="56604C84" w:rsidR="004406DF" w:rsidRPr="007409E1" w:rsidRDefault="004406DF" w:rsidP="00926953">
      <w:pPr>
        <w:widowControl w:val="0"/>
        <w:tabs>
          <w:tab w:val="left" w:pos="360"/>
        </w:tabs>
        <w:jc w:val="both"/>
        <w:rPr>
          <w:rFonts w:asciiTheme="majorHAnsi" w:eastAsia="DaxlinePro-Light" w:hAnsiTheme="majorHAnsi" w:cstheme="majorHAnsi"/>
          <w:b/>
          <w:i/>
          <w:sz w:val="20"/>
          <w:szCs w:val="20"/>
        </w:rPr>
      </w:pPr>
    </w:p>
    <w:p w14:paraId="4D14C0FF" w14:textId="77777777" w:rsidR="007F15B3" w:rsidRPr="007F15B3" w:rsidRDefault="007F15B3" w:rsidP="007F15B3">
      <w:pPr>
        <w:spacing w:line="240" w:lineRule="auto"/>
        <w:jc w:val="both"/>
        <w:rPr>
          <w:rFonts w:asciiTheme="majorHAnsi" w:eastAsia="DaxlinePro-Light" w:hAnsiTheme="majorHAnsi" w:cstheme="majorHAnsi"/>
          <w:i/>
          <w:sz w:val="20"/>
          <w:szCs w:val="20"/>
        </w:rPr>
      </w:pPr>
      <w:r w:rsidRPr="007F15B3">
        <w:rPr>
          <w:rFonts w:asciiTheme="majorHAnsi" w:eastAsia="DaxlinePro-Light" w:hAnsiTheme="majorHAnsi" w:cstheme="majorHAnsi"/>
          <w:i/>
          <w:sz w:val="20"/>
          <w:szCs w:val="20"/>
        </w:rPr>
        <w:t xml:space="preserve">Note: </w:t>
      </w:r>
      <w:r w:rsidRPr="00051497">
        <w:rPr>
          <w:rFonts w:asciiTheme="majorHAnsi" w:eastAsia="DaxlinePro-Light" w:hAnsiTheme="majorHAnsi" w:cstheme="majorHAnsi"/>
          <w:i/>
          <w:sz w:val="18"/>
          <w:szCs w:val="18"/>
        </w:rPr>
        <w:t>* Indicate the vote cast by checking with an "X" one of the spaces for "FOR", "AGAINST" or "ABSTENTION". If more than one space is ticked with an "X" or no space is ticked, the respective vote is considered null / not considered exercised.</w:t>
      </w:r>
    </w:p>
    <w:p w14:paraId="303CCE74" w14:textId="77777777" w:rsidR="007F15B3" w:rsidRPr="007F15B3" w:rsidRDefault="007F15B3" w:rsidP="007F15B3">
      <w:pPr>
        <w:spacing w:line="240" w:lineRule="auto"/>
        <w:jc w:val="both"/>
        <w:rPr>
          <w:rFonts w:asciiTheme="majorHAnsi" w:eastAsia="DaxlinePro-Light" w:hAnsiTheme="majorHAnsi" w:cstheme="majorHAnsi"/>
          <w:iCs/>
          <w:sz w:val="20"/>
          <w:szCs w:val="20"/>
        </w:rPr>
      </w:pPr>
    </w:p>
    <w:p w14:paraId="6E2510A3" w14:textId="5CA09B0B" w:rsidR="004406DF" w:rsidRPr="007F15B3" w:rsidRDefault="007F15B3" w:rsidP="007F15B3">
      <w:pPr>
        <w:spacing w:line="240" w:lineRule="auto"/>
        <w:jc w:val="both"/>
        <w:rPr>
          <w:rFonts w:asciiTheme="majorHAnsi" w:eastAsia="DaxlinePro-Light" w:hAnsiTheme="majorHAnsi" w:cstheme="majorHAnsi"/>
          <w:iCs/>
          <w:sz w:val="20"/>
          <w:szCs w:val="20"/>
        </w:rPr>
      </w:pPr>
      <w:r w:rsidRPr="007F15B3">
        <w:rPr>
          <w:rFonts w:asciiTheme="majorHAnsi" w:eastAsia="DaxlinePro-Light" w:hAnsiTheme="majorHAnsi" w:cstheme="majorHAnsi"/>
          <w:iCs/>
          <w:sz w:val="20"/>
          <w:szCs w:val="20"/>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051497">
        <w:rPr>
          <w:rFonts w:asciiTheme="majorHAnsi" w:eastAsia="DaxlinePro-Light" w:hAnsiTheme="majorHAnsi" w:cstheme="majorHAnsi"/>
          <w:iCs/>
          <w:sz w:val="20"/>
          <w:szCs w:val="20"/>
        </w:rPr>
        <w:t>NOROFERT</w:t>
      </w:r>
      <w:r w:rsidRPr="007F15B3">
        <w:rPr>
          <w:rFonts w:asciiTheme="majorHAnsi" w:eastAsia="DaxlinePro-Light" w:hAnsiTheme="majorHAnsi" w:cstheme="majorHAnsi"/>
          <w:iCs/>
          <w:sz w:val="20"/>
          <w:szCs w:val="20"/>
        </w:rPr>
        <w:t xml:space="preserve"> SA, at the reference date (</w:t>
      </w:r>
      <w:r w:rsidR="00051497">
        <w:rPr>
          <w:rFonts w:asciiTheme="majorHAnsi" w:eastAsia="DaxlinePro-Light" w:hAnsiTheme="majorHAnsi" w:cstheme="majorHAnsi"/>
          <w:b/>
          <w:bCs/>
          <w:iCs/>
          <w:sz w:val="20"/>
          <w:szCs w:val="20"/>
        </w:rPr>
        <w:t>1</w:t>
      </w:r>
      <w:r w:rsidRPr="007F15B3">
        <w:rPr>
          <w:rFonts w:asciiTheme="majorHAnsi" w:eastAsia="DaxlinePro-Light" w:hAnsiTheme="majorHAnsi" w:cstheme="majorHAnsi"/>
          <w:b/>
          <w:bCs/>
          <w:iCs/>
          <w:sz w:val="20"/>
          <w:szCs w:val="20"/>
        </w:rPr>
        <w:t>5.04.2021</w:t>
      </w:r>
      <w:r w:rsidRPr="007F15B3">
        <w:rPr>
          <w:rFonts w:asciiTheme="majorHAnsi" w:eastAsia="DaxlinePro-Light" w:hAnsiTheme="majorHAnsi" w:cstheme="majorHAnsi"/>
          <w:iCs/>
          <w:sz w:val="20"/>
          <w:szCs w:val="20"/>
        </w:rPr>
        <w:t>) issued by the Central Depository. If the Central Depository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4898FBEB" w14:textId="77777777" w:rsidR="007F15B3" w:rsidRPr="007409E1" w:rsidRDefault="007F15B3" w:rsidP="007F15B3">
      <w:pPr>
        <w:spacing w:line="240" w:lineRule="auto"/>
        <w:jc w:val="both"/>
        <w:rPr>
          <w:rFonts w:asciiTheme="majorHAnsi" w:eastAsia="DaxlinePro-Light" w:hAnsiTheme="majorHAnsi" w:cstheme="majorHAnsi"/>
          <w:sz w:val="20"/>
          <w:szCs w:val="20"/>
        </w:rPr>
      </w:pPr>
    </w:p>
    <w:p w14:paraId="0921A02D" w14:textId="4F2A61E0" w:rsidR="007F15B3" w:rsidRPr="007F15B3" w:rsidRDefault="007F15B3" w:rsidP="007F15B3">
      <w:pPr>
        <w:pBdr>
          <w:top w:val="nil"/>
          <w:left w:val="nil"/>
          <w:bottom w:val="nil"/>
          <w:right w:val="nil"/>
          <w:between w:val="nil"/>
        </w:pBdr>
        <w:jc w:val="both"/>
        <w:rPr>
          <w:rFonts w:asciiTheme="majorHAnsi" w:eastAsia="DaxlinePro-Light" w:hAnsiTheme="majorHAnsi" w:cstheme="majorHAnsi"/>
          <w:b/>
          <w:bCs/>
          <w:sz w:val="20"/>
          <w:szCs w:val="20"/>
        </w:rPr>
      </w:pPr>
      <w:r w:rsidRPr="007F15B3">
        <w:rPr>
          <w:rFonts w:asciiTheme="majorHAnsi" w:eastAsia="DaxlinePro-Light" w:hAnsiTheme="majorHAnsi" w:cstheme="majorHAnsi"/>
          <w:b/>
          <w:bCs/>
          <w:sz w:val="20"/>
          <w:szCs w:val="20"/>
        </w:rPr>
        <w:t>Form Date __________________________</w:t>
      </w:r>
    </w:p>
    <w:p w14:paraId="35211F73" w14:textId="77777777" w:rsidR="007F15B3" w:rsidRPr="007F15B3" w:rsidRDefault="007F15B3" w:rsidP="007F15B3">
      <w:pPr>
        <w:pBdr>
          <w:top w:val="nil"/>
          <w:left w:val="nil"/>
          <w:bottom w:val="nil"/>
          <w:right w:val="nil"/>
          <w:between w:val="nil"/>
        </w:pBdr>
        <w:jc w:val="both"/>
        <w:rPr>
          <w:rFonts w:asciiTheme="majorHAnsi" w:eastAsia="DaxlinePro-Light" w:hAnsiTheme="majorHAnsi" w:cstheme="majorHAnsi"/>
          <w:sz w:val="20"/>
          <w:szCs w:val="20"/>
        </w:rPr>
      </w:pPr>
    </w:p>
    <w:p w14:paraId="52C05F49" w14:textId="77777777" w:rsidR="007F15B3" w:rsidRPr="007F15B3" w:rsidRDefault="007F15B3" w:rsidP="007F15B3">
      <w:pPr>
        <w:pBdr>
          <w:top w:val="nil"/>
          <w:left w:val="nil"/>
          <w:bottom w:val="nil"/>
          <w:right w:val="nil"/>
          <w:between w:val="nil"/>
        </w:pBdr>
        <w:jc w:val="both"/>
        <w:rPr>
          <w:rFonts w:asciiTheme="majorHAnsi" w:eastAsia="DaxlinePro-Light" w:hAnsiTheme="majorHAnsi" w:cstheme="majorHAnsi"/>
          <w:sz w:val="20"/>
          <w:szCs w:val="20"/>
        </w:rPr>
      </w:pPr>
      <w:r w:rsidRPr="007F15B3">
        <w:rPr>
          <w:rFonts w:asciiTheme="majorHAnsi" w:eastAsia="DaxlinePro-Light" w:hAnsiTheme="majorHAnsi" w:cstheme="majorHAnsi"/>
          <w:b/>
          <w:bCs/>
          <w:sz w:val="20"/>
          <w:szCs w:val="20"/>
        </w:rPr>
        <w:t>Name of shareholder legal entity:</w:t>
      </w:r>
      <w:r w:rsidRPr="007F15B3">
        <w:rPr>
          <w:rFonts w:asciiTheme="majorHAnsi" w:eastAsia="DaxlinePro-Light" w:hAnsiTheme="majorHAnsi" w:cstheme="majorHAnsi"/>
          <w:sz w:val="20"/>
          <w:szCs w:val="20"/>
        </w:rPr>
        <w:t xml:space="preserve"> ____________________________________________</w:t>
      </w:r>
    </w:p>
    <w:p w14:paraId="5AA39732" w14:textId="77777777" w:rsidR="007F15B3" w:rsidRPr="007F15B3" w:rsidRDefault="007F15B3" w:rsidP="007F15B3">
      <w:pPr>
        <w:pBdr>
          <w:top w:val="nil"/>
          <w:left w:val="nil"/>
          <w:bottom w:val="nil"/>
          <w:right w:val="nil"/>
          <w:between w:val="nil"/>
        </w:pBdr>
        <w:jc w:val="both"/>
        <w:rPr>
          <w:rFonts w:asciiTheme="majorHAnsi" w:eastAsia="DaxlinePro-Light" w:hAnsiTheme="majorHAnsi" w:cstheme="majorHAnsi"/>
          <w:sz w:val="20"/>
          <w:szCs w:val="20"/>
        </w:rPr>
      </w:pPr>
    </w:p>
    <w:p w14:paraId="50EC48BB" w14:textId="77777777" w:rsidR="007F15B3" w:rsidRPr="007F15B3" w:rsidRDefault="007F15B3" w:rsidP="007F15B3">
      <w:pPr>
        <w:pBdr>
          <w:top w:val="nil"/>
          <w:left w:val="nil"/>
          <w:bottom w:val="nil"/>
          <w:right w:val="nil"/>
          <w:between w:val="nil"/>
        </w:pBdr>
        <w:jc w:val="both"/>
        <w:rPr>
          <w:rFonts w:asciiTheme="majorHAnsi" w:eastAsia="DaxlinePro-Light" w:hAnsiTheme="majorHAnsi" w:cstheme="majorHAnsi"/>
          <w:b/>
          <w:bCs/>
          <w:sz w:val="20"/>
          <w:szCs w:val="20"/>
        </w:rPr>
      </w:pPr>
      <w:r w:rsidRPr="007F15B3">
        <w:rPr>
          <w:rFonts w:asciiTheme="majorHAnsi" w:eastAsia="DaxlinePro-Light" w:hAnsiTheme="majorHAnsi" w:cstheme="majorHAnsi"/>
          <w:b/>
          <w:bCs/>
          <w:sz w:val="20"/>
          <w:szCs w:val="20"/>
        </w:rPr>
        <w:t>Name and surname of legal representative: ___________________________________________</w:t>
      </w:r>
    </w:p>
    <w:p w14:paraId="13AF1989" w14:textId="77777777" w:rsidR="007F15B3" w:rsidRPr="007F15B3" w:rsidRDefault="007F15B3" w:rsidP="007F15B3">
      <w:pPr>
        <w:pBdr>
          <w:top w:val="nil"/>
          <w:left w:val="nil"/>
          <w:bottom w:val="nil"/>
          <w:right w:val="nil"/>
          <w:between w:val="nil"/>
        </w:pBdr>
        <w:jc w:val="both"/>
        <w:rPr>
          <w:rFonts w:asciiTheme="majorHAnsi" w:eastAsia="DaxlinePro-Light" w:hAnsiTheme="majorHAnsi" w:cstheme="majorHAnsi"/>
          <w:i/>
          <w:iCs/>
          <w:sz w:val="18"/>
          <w:szCs w:val="18"/>
        </w:rPr>
      </w:pPr>
      <w:r w:rsidRPr="007F15B3">
        <w:rPr>
          <w:rFonts w:asciiTheme="majorHAnsi" w:eastAsia="DaxlinePro-Light" w:hAnsiTheme="majorHAnsi" w:cstheme="majorHAnsi"/>
          <w:i/>
          <w:iCs/>
          <w:sz w:val="18"/>
          <w:szCs w:val="18"/>
        </w:rPr>
        <w:t>* To be filled in with the name of the shareholder legal entity and with the name and surname of the legal representative, in clear, with capital letters</w:t>
      </w:r>
    </w:p>
    <w:p w14:paraId="44E8DD6C" w14:textId="77777777" w:rsidR="007F15B3" w:rsidRPr="007F15B3" w:rsidRDefault="007F15B3" w:rsidP="007F15B3">
      <w:pPr>
        <w:pBdr>
          <w:top w:val="nil"/>
          <w:left w:val="nil"/>
          <w:bottom w:val="nil"/>
          <w:right w:val="nil"/>
          <w:between w:val="nil"/>
        </w:pBdr>
        <w:jc w:val="both"/>
        <w:rPr>
          <w:rFonts w:asciiTheme="majorHAnsi" w:eastAsia="DaxlinePro-Light" w:hAnsiTheme="majorHAnsi" w:cstheme="majorHAnsi"/>
          <w:b/>
          <w:bCs/>
          <w:sz w:val="20"/>
          <w:szCs w:val="20"/>
        </w:rPr>
      </w:pPr>
    </w:p>
    <w:p w14:paraId="50C95BF5" w14:textId="77777777" w:rsidR="00051497" w:rsidRDefault="007F15B3" w:rsidP="007F15B3">
      <w:pPr>
        <w:pBdr>
          <w:top w:val="nil"/>
          <w:left w:val="nil"/>
          <w:bottom w:val="nil"/>
          <w:right w:val="nil"/>
          <w:between w:val="nil"/>
        </w:pBdr>
        <w:jc w:val="both"/>
        <w:rPr>
          <w:rFonts w:asciiTheme="majorHAnsi" w:eastAsia="DaxlinePro-Light" w:hAnsiTheme="majorHAnsi" w:cstheme="majorHAnsi"/>
          <w:b/>
          <w:bCs/>
          <w:sz w:val="20"/>
          <w:szCs w:val="20"/>
        </w:rPr>
      </w:pPr>
      <w:r w:rsidRPr="007F15B3">
        <w:rPr>
          <w:rFonts w:asciiTheme="majorHAnsi" w:eastAsia="DaxlinePro-Light" w:hAnsiTheme="majorHAnsi" w:cstheme="majorHAnsi"/>
          <w:b/>
          <w:bCs/>
          <w:sz w:val="20"/>
          <w:szCs w:val="20"/>
        </w:rPr>
        <w:t>Signature: ___________________________</w:t>
      </w:r>
    </w:p>
    <w:p w14:paraId="7D133C6E" w14:textId="07833D0A" w:rsidR="004406DF" w:rsidRPr="007F15B3" w:rsidRDefault="007F15B3" w:rsidP="007F15B3">
      <w:pPr>
        <w:pBdr>
          <w:top w:val="nil"/>
          <w:left w:val="nil"/>
          <w:bottom w:val="nil"/>
          <w:right w:val="nil"/>
          <w:between w:val="nil"/>
        </w:pBdr>
        <w:jc w:val="both"/>
        <w:rPr>
          <w:rFonts w:asciiTheme="majorHAnsi" w:eastAsia="Calibri" w:hAnsiTheme="majorHAnsi" w:cstheme="majorHAnsi"/>
          <w:i/>
          <w:iCs/>
          <w:color w:val="808080"/>
          <w:sz w:val="20"/>
          <w:szCs w:val="20"/>
        </w:rPr>
      </w:pPr>
      <w:r w:rsidRPr="007F15B3">
        <w:rPr>
          <w:rFonts w:asciiTheme="majorHAnsi" w:eastAsia="DaxlinePro-Light" w:hAnsiTheme="majorHAnsi" w:cstheme="majorHAnsi"/>
          <w:i/>
          <w:iCs/>
          <w:sz w:val="18"/>
          <w:szCs w:val="18"/>
        </w:rPr>
        <w:t>* To be filled in with the signature of the legal representative of the legal entity shareholder and will be stamped, if applicable.</w:t>
      </w:r>
    </w:p>
    <w:sectPr w:rsidR="004406DF" w:rsidRPr="007F15B3" w:rsidSect="00051497">
      <w:headerReference w:type="default" r:id="rId8"/>
      <w:footerReference w:type="default" r:id="rId9"/>
      <w:pgSz w:w="11909" w:h="16834"/>
      <w:pgMar w:top="1554" w:right="929" w:bottom="1440" w:left="1440" w:header="142" w:footer="29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3F555" w14:textId="77777777" w:rsidR="00A15624" w:rsidRDefault="00A15624">
      <w:pPr>
        <w:spacing w:line="240" w:lineRule="auto"/>
      </w:pPr>
      <w:r>
        <w:separator/>
      </w:r>
    </w:p>
  </w:endnote>
  <w:endnote w:type="continuationSeparator" w:id="0">
    <w:p w14:paraId="2B0A9071" w14:textId="77777777" w:rsidR="00A15624" w:rsidRDefault="00A15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axlinePro-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9E8C" w14:textId="77777777" w:rsidR="004406DF" w:rsidRDefault="001A2BE5">
    <w:pPr>
      <w:pBdr>
        <w:top w:val="nil"/>
        <w:left w:val="nil"/>
        <w:bottom w:val="nil"/>
        <w:right w:val="nil"/>
        <w:between w:val="nil"/>
      </w:pBdr>
      <w:tabs>
        <w:tab w:val="center" w:pos="4513"/>
        <w:tab w:val="right" w:pos="9026"/>
      </w:tabs>
      <w:spacing w:line="240" w:lineRule="auto"/>
      <w:jc w:val="center"/>
      <w:rPr>
        <w:rFonts w:ascii="DaxlinePro-Light" w:eastAsia="DaxlinePro-Light" w:hAnsi="DaxlinePro-Light" w:cs="DaxlinePro-Light"/>
        <w:color w:val="000000"/>
        <w:sz w:val="18"/>
        <w:szCs w:val="18"/>
      </w:rPr>
    </w:pPr>
    <w:r>
      <w:rPr>
        <w:rFonts w:ascii="DaxlinePro-Light" w:eastAsia="DaxlinePro-Light" w:hAnsi="DaxlinePro-Light" w:cs="DaxlinePro-Light"/>
        <w:b/>
        <w:color w:val="000000"/>
        <w:sz w:val="18"/>
        <w:szCs w:val="18"/>
      </w:rPr>
      <w:fldChar w:fldCharType="begin"/>
    </w:r>
    <w:r>
      <w:rPr>
        <w:rFonts w:ascii="DaxlinePro-Light" w:eastAsia="DaxlinePro-Light" w:hAnsi="DaxlinePro-Light" w:cs="DaxlinePro-Light"/>
        <w:b/>
        <w:color w:val="000000"/>
        <w:sz w:val="18"/>
        <w:szCs w:val="18"/>
      </w:rPr>
      <w:instrText>PAGE</w:instrText>
    </w:r>
    <w:r>
      <w:rPr>
        <w:rFonts w:ascii="DaxlinePro-Light" w:eastAsia="DaxlinePro-Light" w:hAnsi="DaxlinePro-Light" w:cs="DaxlinePro-Light"/>
        <w:b/>
        <w:color w:val="000000"/>
        <w:sz w:val="18"/>
        <w:szCs w:val="18"/>
      </w:rPr>
      <w:fldChar w:fldCharType="separate"/>
    </w:r>
    <w:r w:rsidR="00926953">
      <w:rPr>
        <w:rFonts w:ascii="DaxlinePro-Light" w:eastAsia="DaxlinePro-Light" w:hAnsi="DaxlinePro-Light" w:cs="DaxlinePro-Light"/>
        <w:b/>
        <w:noProof/>
        <w:color w:val="000000"/>
        <w:sz w:val="18"/>
        <w:szCs w:val="18"/>
      </w:rPr>
      <w:t>1</w:t>
    </w:r>
    <w:r>
      <w:rPr>
        <w:rFonts w:ascii="DaxlinePro-Light" w:eastAsia="DaxlinePro-Light" w:hAnsi="DaxlinePro-Light" w:cs="DaxlinePro-Light"/>
        <w:b/>
        <w:color w:val="000000"/>
        <w:sz w:val="18"/>
        <w:szCs w:val="18"/>
      </w:rPr>
      <w:fldChar w:fldCharType="end"/>
    </w:r>
    <w:r>
      <w:rPr>
        <w:rFonts w:ascii="DaxlinePro-Light" w:eastAsia="DaxlinePro-Light" w:hAnsi="DaxlinePro-Light" w:cs="DaxlinePro-Light"/>
        <w:color w:val="000000"/>
        <w:sz w:val="18"/>
        <w:szCs w:val="18"/>
      </w:rPr>
      <w:t xml:space="preserve"> / </w:t>
    </w:r>
    <w:r>
      <w:rPr>
        <w:rFonts w:ascii="DaxlinePro-Light" w:eastAsia="DaxlinePro-Light" w:hAnsi="DaxlinePro-Light" w:cs="DaxlinePro-Light"/>
        <w:b/>
        <w:color w:val="000000"/>
        <w:sz w:val="18"/>
        <w:szCs w:val="18"/>
      </w:rPr>
      <w:fldChar w:fldCharType="begin"/>
    </w:r>
    <w:r>
      <w:rPr>
        <w:rFonts w:ascii="DaxlinePro-Light" w:eastAsia="DaxlinePro-Light" w:hAnsi="DaxlinePro-Light" w:cs="DaxlinePro-Light"/>
        <w:b/>
        <w:color w:val="000000"/>
        <w:sz w:val="18"/>
        <w:szCs w:val="18"/>
      </w:rPr>
      <w:instrText>NUMPAGES</w:instrText>
    </w:r>
    <w:r>
      <w:rPr>
        <w:rFonts w:ascii="DaxlinePro-Light" w:eastAsia="DaxlinePro-Light" w:hAnsi="DaxlinePro-Light" w:cs="DaxlinePro-Light"/>
        <w:b/>
        <w:color w:val="000000"/>
        <w:sz w:val="18"/>
        <w:szCs w:val="18"/>
      </w:rPr>
      <w:fldChar w:fldCharType="separate"/>
    </w:r>
    <w:r w:rsidR="00926953">
      <w:rPr>
        <w:rFonts w:ascii="DaxlinePro-Light" w:eastAsia="DaxlinePro-Light" w:hAnsi="DaxlinePro-Light" w:cs="DaxlinePro-Light"/>
        <w:b/>
        <w:noProof/>
        <w:color w:val="000000"/>
        <w:sz w:val="18"/>
        <w:szCs w:val="18"/>
      </w:rPr>
      <w:t>2</w:t>
    </w:r>
    <w:r>
      <w:rPr>
        <w:rFonts w:ascii="DaxlinePro-Light" w:eastAsia="DaxlinePro-Light" w:hAnsi="DaxlinePro-Light" w:cs="DaxlinePro-Light"/>
        <w:b/>
        <w:color w:val="000000"/>
        <w:sz w:val="18"/>
        <w:szCs w:val="18"/>
      </w:rPr>
      <w:fldChar w:fldCharType="end"/>
    </w:r>
  </w:p>
  <w:p w14:paraId="632643EA" w14:textId="77777777" w:rsidR="004406DF" w:rsidRDefault="004406DF">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43590" w14:textId="77777777" w:rsidR="00A15624" w:rsidRDefault="00A15624">
      <w:pPr>
        <w:spacing w:line="240" w:lineRule="auto"/>
      </w:pPr>
      <w:r>
        <w:separator/>
      </w:r>
    </w:p>
  </w:footnote>
  <w:footnote w:type="continuationSeparator" w:id="0">
    <w:p w14:paraId="0EAA0602" w14:textId="77777777" w:rsidR="00A15624" w:rsidRDefault="00A156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343B" w14:textId="77777777" w:rsidR="00EB5F83" w:rsidRPr="004B6D0C" w:rsidRDefault="00EB5F83" w:rsidP="00EB5F83">
    <w:pPr>
      <w:pStyle w:val="Header"/>
      <w:rPr>
        <w:rFonts w:cstheme="minorHAnsi"/>
        <w:lang w:val="it-IT"/>
      </w:rPr>
    </w:pPr>
    <w:bookmarkStart w:id="0" w:name="_Hlk24558227"/>
  </w:p>
  <w:bookmarkEnd w:id="0"/>
  <w:p w14:paraId="0EBF751D" w14:textId="77777777" w:rsidR="00051497" w:rsidRPr="004157D0" w:rsidRDefault="00051497" w:rsidP="00051497">
    <w:pPr>
      <w:tabs>
        <w:tab w:val="center" w:pos="4536"/>
        <w:tab w:val="right" w:pos="9072"/>
      </w:tabs>
      <w:jc w:val="center"/>
      <w:rPr>
        <w:rFonts w:ascii="Calibri" w:eastAsia="Calibri" w:hAnsi="Calibri"/>
        <w:b/>
        <w:lang w:eastAsia="en-US"/>
      </w:rPr>
    </w:pPr>
    <w:r w:rsidRPr="004157D0">
      <w:rPr>
        <w:rFonts w:ascii="Calibri" w:eastAsia="Calibri" w:hAnsi="Calibri"/>
        <w:b/>
        <w:lang w:eastAsia="en-US"/>
      </w:rPr>
      <w:t>NOROFERT S.A.</w:t>
    </w:r>
  </w:p>
  <w:p w14:paraId="61FC97E0" w14:textId="77777777" w:rsidR="00051497" w:rsidRPr="004157D0" w:rsidRDefault="00051497" w:rsidP="00051497">
    <w:pPr>
      <w:tabs>
        <w:tab w:val="center" w:pos="4536"/>
        <w:tab w:val="right" w:pos="9072"/>
      </w:tabs>
      <w:jc w:val="center"/>
      <w:rPr>
        <w:rFonts w:ascii="Calibri" w:eastAsia="Calibri" w:hAnsi="Calibri" w:cs="Calibri"/>
        <w:sz w:val="20"/>
        <w:szCs w:val="20"/>
        <w:lang w:eastAsia="en-US"/>
      </w:rPr>
    </w:pPr>
    <w:bookmarkStart w:id="1" w:name="_Hlk66962864"/>
    <w:r w:rsidRPr="004157D0">
      <w:rPr>
        <w:rFonts w:ascii="Calibri" w:eastAsia="Calibri" w:hAnsi="Calibri" w:cs="Calibri"/>
        <w:sz w:val="20"/>
        <w:szCs w:val="20"/>
        <w:lang w:eastAsia="en-US"/>
      </w:rPr>
      <w:t>Bucuresti Sectorul 5 Str. PETRACHE POENARU Nr. 26, CAM. 8</w:t>
    </w:r>
  </w:p>
  <w:p w14:paraId="325B4B03" w14:textId="77777777" w:rsidR="00051497" w:rsidRPr="004157D0" w:rsidRDefault="00051497" w:rsidP="00051497">
    <w:pPr>
      <w:tabs>
        <w:tab w:val="center" w:pos="4536"/>
        <w:tab w:val="right" w:pos="9072"/>
      </w:tabs>
      <w:jc w:val="center"/>
      <w:rPr>
        <w:rFonts w:ascii="Calibri" w:eastAsia="Calibri" w:hAnsi="Calibri" w:cs="Calibri"/>
        <w:sz w:val="20"/>
        <w:szCs w:val="20"/>
        <w:lang w:eastAsia="en-US"/>
      </w:rPr>
    </w:pPr>
    <w:r w:rsidRPr="004157D0">
      <w:rPr>
        <w:rFonts w:ascii="Calibri" w:eastAsia="Calibri" w:hAnsi="Calibri" w:cs="Calibri"/>
        <w:color w:val="000000"/>
        <w:sz w:val="20"/>
        <w:szCs w:val="20"/>
        <w:shd w:val="clear" w:color="auto" w:fill="FFFFFF"/>
        <w:lang w:eastAsia="en-US"/>
      </w:rPr>
      <w:t>J40/4222/2000</w:t>
    </w:r>
    <w:r w:rsidRPr="004157D0">
      <w:rPr>
        <w:rFonts w:ascii="Calibri" w:eastAsia="Calibri" w:hAnsi="Calibri" w:cs="Calibri"/>
        <w:color w:val="000000"/>
        <w:sz w:val="20"/>
        <w:szCs w:val="20"/>
        <w:lang w:eastAsia="en-US"/>
      </w:rPr>
      <w:t xml:space="preserve">, </w:t>
    </w:r>
    <w:r w:rsidRPr="004157D0">
      <w:rPr>
        <w:rFonts w:ascii="Calibri" w:eastAsia="Calibri" w:hAnsi="Calibri" w:cs="Calibri"/>
        <w:sz w:val="20"/>
        <w:szCs w:val="20"/>
        <w:lang w:eastAsia="en-US"/>
      </w:rPr>
      <w:t>CUI 12972762</w:t>
    </w:r>
  </w:p>
  <w:bookmarkEnd w:id="1"/>
  <w:p w14:paraId="7359755F" w14:textId="77777777" w:rsidR="00051497" w:rsidRPr="004157D0" w:rsidRDefault="00051497" w:rsidP="00051497">
    <w:pPr>
      <w:tabs>
        <w:tab w:val="center" w:pos="4536"/>
        <w:tab w:val="right" w:pos="9072"/>
      </w:tabs>
      <w:jc w:val="center"/>
      <w:rPr>
        <w:rFonts w:ascii="Calibri" w:eastAsia="Calibri" w:hAnsi="Calibri"/>
        <w:sz w:val="20"/>
        <w:szCs w:val="20"/>
        <w:lang w:eastAsia="en-US"/>
      </w:rPr>
    </w:pPr>
    <w:r w:rsidRPr="004157D0">
      <w:rPr>
        <w:rFonts w:ascii="Calibri" w:eastAsia="Calibri" w:hAnsi="Calibri" w:cs="Calibri"/>
        <w:sz w:val="20"/>
        <w:szCs w:val="20"/>
        <w:lang w:eastAsia="en-US"/>
      </w:rPr>
      <w:t>Capital social subscris varsat: 3.209.576 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46BC5"/>
    <w:multiLevelType w:val="hybridMultilevel"/>
    <w:tmpl w:val="57A6D630"/>
    <w:lvl w:ilvl="0" w:tplc="26F267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E4E6B"/>
    <w:multiLevelType w:val="hybridMultilevel"/>
    <w:tmpl w:val="92844E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6FD09C8"/>
    <w:multiLevelType w:val="hybridMultilevel"/>
    <w:tmpl w:val="A6546A78"/>
    <w:lvl w:ilvl="0" w:tplc="04180001">
      <w:start w:val="1"/>
      <w:numFmt w:val="bullet"/>
      <w:lvlText w:val=""/>
      <w:lvlJc w:val="left"/>
      <w:pPr>
        <w:ind w:left="1146" w:hanging="360"/>
      </w:pPr>
      <w:rPr>
        <w:rFonts w:ascii="Symbol" w:hAnsi="Symbol" w:hint="default"/>
      </w:rPr>
    </w:lvl>
    <w:lvl w:ilvl="1" w:tplc="A78E8538">
      <w:start w:val="1"/>
      <w:numFmt w:val="bullet"/>
      <w:lvlText w:val="•"/>
      <w:lvlJc w:val="left"/>
      <w:pPr>
        <w:ind w:left="1866" w:hanging="360"/>
      </w:pPr>
      <w:rPr>
        <w:rFonts w:ascii="Calibri" w:eastAsiaTheme="minorHAnsi" w:hAnsi="Calibri" w:cs="Calibri"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66077293"/>
    <w:multiLevelType w:val="hybridMultilevel"/>
    <w:tmpl w:val="791E04F4"/>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7CA46C68"/>
    <w:multiLevelType w:val="hybridMultilevel"/>
    <w:tmpl w:val="4EF6A2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DF"/>
    <w:rsid w:val="00051497"/>
    <w:rsid w:val="001A2BE5"/>
    <w:rsid w:val="001C1BB8"/>
    <w:rsid w:val="00250A27"/>
    <w:rsid w:val="002B1CFF"/>
    <w:rsid w:val="003551E8"/>
    <w:rsid w:val="003D2002"/>
    <w:rsid w:val="003D5047"/>
    <w:rsid w:val="003F0EC4"/>
    <w:rsid w:val="004406DF"/>
    <w:rsid w:val="005D25F7"/>
    <w:rsid w:val="007409E1"/>
    <w:rsid w:val="007F15B3"/>
    <w:rsid w:val="008450AB"/>
    <w:rsid w:val="008F2152"/>
    <w:rsid w:val="00910361"/>
    <w:rsid w:val="00926953"/>
    <w:rsid w:val="00A15624"/>
    <w:rsid w:val="00B85944"/>
    <w:rsid w:val="00C02DD6"/>
    <w:rsid w:val="00D608C5"/>
    <w:rsid w:val="00DA47C5"/>
    <w:rsid w:val="00E6061C"/>
    <w:rsid w:val="00EA6E28"/>
    <w:rsid w:val="00EB5F83"/>
    <w:rsid w:val="00EC20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BA39"/>
  <w15:docId w15:val="{585ACC99-D090-4DD5-B247-F4CF89B5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o"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Header">
    <w:name w:val="header"/>
    <w:basedOn w:val="Normal"/>
    <w:link w:val="HeaderChar"/>
    <w:uiPriority w:val="99"/>
    <w:unhideWhenUsed/>
    <w:rsid w:val="00CE7A58"/>
    <w:pPr>
      <w:tabs>
        <w:tab w:val="center" w:pos="4513"/>
        <w:tab w:val="right" w:pos="9026"/>
      </w:tabs>
      <w:spacing w:line="240" w:lineRule="auto"/>
    </w:pPr>
  </w:style>
  <w:style w:type="character" w:customStyle="1" w:styleId="HeaderChar">
    <w:name w:val="Header Char"/>
    <w:basedOn w:val="DefaultParagraphFont"/>
    <w:link w:val="Header"/>
    <w:uiPriority w:val="99"/>
    <w:rsid w:val="00CE7A58"/>
  </w:style>
  <w:style w:type="paragraph" w:styleId="Footer">
    <w:name w:val="footer"/>
    <w:basedOn w:val="Normal"/>
    <w:link w:val="FooterChar"/>
    <w:uiPriority w:val="99"/>
    <w:unhideWhenUsed/>
    <w:rsid w:val="00CE7A58"/>
    <w:pPr>
      <w:tabs>
        <w:tab w:val="center" w:pos="4513"/>
        <w:tab w:val="right" w:pos="9026"/>
      </w:tabs>
      <w:spacing w:line="240" w:lineRule="auto"/>
    </w:pPr>
  </w:style>
  <w:style w:type="character" w:customStyle="1" w:styleId="FooterChar">
    <w:name w:val="Footer Char"/>
    <w:basedOn w:val="DefaultParagraphFont"/>
    <w:link w:val="Footer"/>
    <w:uiPriority w:val="99"/>
    <w:rsid w:val="00CE7A58"/>
  </w:style>
  <w:style w:type="paragraph" w:styleId="ListParagraph">
    <w:name w:val="List Paragraph"/>
    <w:basedOn w:val="Normal"/>
    <w:uiPriority w:val="34"/>
    <w:qFormat/>
    <w:rsid w:val="00C448B9"/>
    <w:pPr>
      <w:ind w:left="720"/>
      <w:contextualSpacing/>
    </w:pPr>
    <w:rPr>
      <w:lang w:val="en" w:eastAsia="ja-JP"/>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5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x6E6nYXnCchA4dKOVTLVFb/yA==">AMUW2mUHPG8aBKg7c1xN/cbar1LQ08dNx7FB37AdE8/bEQqyNiU0GI1aWL/oPR5dhLLtGawR6fRS1oK3cVwpb+jLi2QO0wquHqpPlC7HEoTqP3cXpWeX52zCy8I/IWKfl4ExWXAkOzLeaNxL4Lm945aOACfFLKGWZg==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1534</Words>
  <Characters>9333</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Birlean</dc:creator>
  <cp:lastModifiedBy>Aron, Dinu si asociatii</cp:lastModifiedBy>
  <cp:revision>4</cp:revision>
  <dcterms:created xsi:type="dcterms:W3CDTF">2021-03-23T16:17:00Z</dcterms:created>
  <dcterms:modified xsi:type="dcterms:W3CDTF">2021-03-24T13:01:00Z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